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1"/>
      </w:tblGrid>
      <w:tr w:rsidR="0070684C" w14:paraId="55EF3078" w14:textId="77777777" w:rsidTr="00B12336">
        <w:tc>
          <w:tcPr>
            <w:tcW w:w="4786" w:type="dxa"/>
          </w:tcPr>
          <w:p w14:paraId="55EF3074" w14:textId="77777777" w:rsidR="0070684C" w:rsidRPr="0070684C" w:rsidRDefault="0070684C" w:rsidP="00E03490">
            <w:pPr>
              <w:widowControl/>
              <w:suppressAutoHyphens w:val="0"/>
              <w:spacing w:line="240" w:lineRule="auto"/>
              <w:jc w:val="left"/>
            </w:pPr>
          </w:p>
        </w:tc>
        <w:tc>
          <w:tcPr>
            <w:tcW w:w="4501" w:type="dxa"/>
          </w:tcPr>
          <w:p w14:paraId="55EF3076" w14:textId="77777777" w:rsidR="0070684C" w:rsidRDefault="0070684C" w:rsidP="004E1372">
            <w:pPr>
              <w:widowControl/>
              <w:suppressAutoHyphens w:val="0"/>
              <w:spacing w:line="240" w:lineRule="auto"/>
              <w:jc w:val="right"/>
              <w:rPr>
                <w:sz w:val="22"/>
                <w:szCs w:val="22"/>
              </w:rPr>
            </w:pPr>
          </w:p>
          <w:p w14:paraId="55EF3077" w14:textId="77777777" w:rsidR="004E1372" w:rsidRPr="008145F3" w:rsidRDefault="004E1372" w:rsidP="004E1372">
            <w:pPr>
              <w:widowControl/>
              <w:suppressAutoHyphens w:val="0"/>
              <w:spacing w:line="240" w:lineRule="auto"/>
              <w:jc w:val="right"/>
              <w:rPr>
                <w:sz w:val="22"/>
                <w:szCs w:val="22"/>
              </w:rPr>
            </w:pPr>
          </w:p>
        </w:tc>
      </w:tr>
      <w:tr w:rsidR="0089276C" w14:paraId="55EF307B" w14:textId="77777777" w:rsidTr="00B12336">
        <w:tc>
          <w:tcPr>
            <w:tcW w:w="4786" w:type="dxa"/>
          </w:tcPr>
          <w:p w14:paraId="55EF3079" w14:textId="04CC072F" w:rsidR="0089276C" w:rsidRPr="00E03490" w:rsidRDefault="00E03490" w:rsidP="00001FB8">
            <w:pPr>
              <w:widowControl/>
              <w:suppressAutoHyphens w:val="0"/>
              <w:spacing w:before="240" w:line="240" w:lineRule="auto"/>
              <w:jc w:val="left"/>
              <w:rPr>
                <w:b/>
                <w:sz w:val="22"/>
                <w:szCs w:val="22"/>
              </w:rPr>
            </w:pPr>
            <w:r w:rsidRPr="00E03490">
              <w:rPr>
                <w:b/>
              </w:rPr>
              <w:t xml:space="preserve">„Siseministri </w:t>
            </w:r>
            <w:r w:rsidR="006D4161">
              <w:rPr>
                <w:b/>
              </w:rPr>
              <w:t>18</w:t>
            </w:r>
            <w:r w:rsidRPr="00E03490">
              <w:rPr>
                <w:b/>
              </w:rPr>
              <w:t xml:space="preserve">. </w:t>
            </w:r>
            <w:r w:rsidR="00A42A47">
              <w:rPr>
                <w:b/>
              </w:rPr>
              <w:t>septembri 201</w:t>
            </w:r>
            <w:r w:rsidR="00001FB8">
              <w:rPr>
                <w:b/>
              </w:rPr>
              <w:t>5</w:t>
            </w:r>
            <w:r w:rsidRPr="00E03490">
              <w:rPr>
                <w:b/>
              </w:rPr>
              <w:t>. a käskkirja nr 1-3/</w:t>
            </w:r>
            <w:r w:rsidR="00A42A47">
              <w:rPr>
                <w:b/>
              </w:rPr>
              <w:t>170</w:t>
            </w:r>
            <w:r w:rsidRPr="00E03490">
              <w:rPr>
                <w:b/>
              </w:rPr>
              <w:t xml:space="preserve"> „Toetuse andmise tingimused </w:t>
            </w:r>
            <w:r w:rsidR="00A42A47">
              <w:rPr>
                <w:b/>
              </w:rPr>
              <w:t>riskikäitumise ennetamiseks, riskis olevate perede toetamiseks ning turvalise elukeskkonna arendamiseks</w:t>
            </w:r>
            <w:r w:rsidRPr="00E03490">
              <w:rPr>
                <w:b/>
              </w:rPr>
              <w:t xml:space="preserve">“ muutmine“ </w:t>
            </w:r>
            <w:r w:rsidR="00097B1E">
              <w:rPr>
                <w:b/>
              </w:rPr>
              <w:t xml:space="preserve">eelnõu </w:t>
            </w:r>
            <w:r w:rsidRPr="00E03490">
              <w:rPr>
                <w:b/>
              </w:rPr>
              <w:t>seletuskiri</w:t>
            </w:r>
          </w:p>
        </w:tc>
        <w:tc>
          <w:tcPr>
            <w:tcW w:w="4501" w:type="dxa"/>
          </w:tcPr>
          <w:p w14:paraId="55EF307A" w14:textId="77777777" w:rsidR="0089276C" w:rsidRPr="00B81632" w:rsidRDefault="0089276C" w:rsidP="00B12336">
            <w:pPr>
              <w:widowControl/>
              <w:suppressAutoHyphens w:val="0"/>
              <w:spacing w:line="240" w:lineRule="auto"/>
              <w:jc w:val="right"/>
              <w:rPr>
                <w:b/>
                <w:sz w:val="22"/>
                <w:szCs w:val="22"/>
              </w:rPr>
            </w:pPr>
          </w:p>
        </w:tc>
      </w:tr>
    </w:tbl>
    <w:p w14:paraId="55EF307C" w14:textId="77777777" w:rsidR="00B12336" w:rsidRDefault="00B12336" w:rsidP="0084562D">
      <w:pPr>
        <w:widowControl/>
        <w:suppressAutoHyphens w:val="0"/>
        <w:spacing w:line="240" w:lineRule="auto"/>
        <w:jc w:val="left"/>
      </w:pPr>
    </w:p>
    <w:p w14:paraId="55EF307D" w14:textId="77777777" w:rsidR="00B12336" w:rsidRDefault="00B12336" w:rsidP="0084562D">
      <w:pPr>
        <w:widowControl/>
        <w:suppressAutoHyphens w:val="0"/>
        <w:spacing w:line="240" w:lineRule="auto"/>
        <w:jc w:val="left"/>
      </w:pPr>
    </w:p>
    <w:p w14:paraId="55EF307E" w14:textId="77777777" w:rsidR="00E03490" w:rsidRPr="002232B9" w:rsidRDefault="00E03490" w:rsidP="00E03490">
      <w:pPr>
        <w:pStyle w:val="ListParagraph"/>
        <w:numPr>
          <w:ilvl w:val="0"/>
          <w:numId w:val="1"/>
        </w:numPr>
        <w:ind w:left="426" w:hanging="426"/>
        <w:rPr>
          <w:rFonts w:ascii="Times New Roman" w:hAnsi="Times New Roman" w:cs="Times New Roman"/>
          <w:b/>
          <w:sz w:val="24"/>
          <w:szCs w:val="24"/>
        </w:rPr>
      </w:pPr>
      <w:r>
        <w:rPr>
          <w:rFonts w:ascii="Times New Roman" w:hAnsi="Times New Roman" w:cs="Times New Roman"/>
          <w:b/>
          <w:sz w:val="24"/>
          <w:szCs w:val="24"/>
        </w:rPr>
        <w:t>Sissejuhatus</w:t>
      </w:r>
    </w:p>
    <w:p w14:paraId="092914AC" w14:textId="00962F98" w:rsidR="00E40789" w:rsidRDefault="00E40789" w:rsidP="00E03490">
      <w:pPr>
        <w:spacing w:line="240" w:lineRule="auto"/>
      </w:pPr>
      <w:r>
        <w:t xml:space="preserve">Siseministri </w:t>
      </w:r>
      <w:r w:rsidRPr="00A42A47">
        <w:t>18. septembri 201</w:t>
      </w:r>
      <w:r w:rsidR="00001FB8">
        <w:t>5</w:t>
      </w:r>
      <w:r w:rsidRPr="00A42A47">
        <w:t>. a käskkirja nr 1-3/170 „Toetuse andmise tingimused riskikäitumise ennetamiseks, riskis olevate perede toetamiseks ning turvalise elukeskkonna arendamiseks</w:t>
      </w:r>
      <w:r>
        <w:t xml:space="preserve">“ (edaspidi </w:t>
      </w:r>
      <w:r>
        <w:rPr>
          <w:i/>
        </w:rPr>
        <w:t>TAT</w:t>
      </w:r>
      <w:r>
        <w:t xml:space="preserve">) muutmine on tingitud vajadustest täpsustada toetatavate tegevuste elluviimist, võimaldada paindlikumalt ja kiiremalt muuta praegu kehtiva TAT-i lisades 1−4 olevaid vorme ning sätestada toetatava tegevuse 2.2 partnerina Politsei- ja Piirivalveamet (edaspidi </w:t>
      </w:r>
      <w:r>
        <w:rPr>
          <w:i/>
        </w:rPr>
        <w:t>PPA</w:t>
      </w:r>
      <w:r>
        <w:t xml:space="preserve">), et </w:t>
      </w:r>
      <w:r w:rsidRPr="00E53D13">
        <w:t>aja- ja ressursitõhusamalt luua PPA vajadustele vastav andme- ja teabevahetuslahendus</w:t>
      </w:r>
      <w:r>
        <w:t>.</w:t>
      </w:r>
    </w:p>
    <w:p w14:paraId="4DC25692" w14:textId="77777777" w:rsidR="00ED3EDB" w:rsidRDefault="00ED3EDB" w:rsidP="00E03490">
      <w:pPr>
        <w:spacing w:line="240" w:lineRule="auto"/>
      </w:pPr>
    </w:p>
    <w:p w14:paraId="55EF3080" w14:textId="76DE1683" w:rsidR="00E03490" w:rsidRDefault="00E03490" w:rsidP="00E03490">
      <w:pPr>
        <w:spacing w:line="240" w:lineRule="auto"/>
      </w:pPr>
      <w:r>
        <w:t xml:space="preserve">Käskkirja eelnõu </w:t>
      </w:r>
      <w:r w:rsidR="00E40789">
        <w:t xml:space="preserve">(edaspidi </w:t>
      </w:r>
      <w:r w:rsidR="00E40789">
        <w:rPr>
          <w:i/>
        </w:rPr>
        <w:t>eelnõu</w:t>
      </w:r>
      <w:r w:rsidR="00E40789" w:rsidRPr="00E40789">
        <w:t>)</w:t>
      </w:r>
      <w:r w:rsidR="00E40789">
        <w:t xml:space="preserve"> </w:t>
      </w:r>
      <w:r>
        <w:t xml:space="preserve">ja seletuskirja koostasid välisvahendite osakonna nõunik Ave Osman (e-post </w:t>
      </w:r>
      <w:hyperlink r:id="rId11" w:history="1">
        <w:r w:rsidRPr="002D5702">
          <w:rPr>
            <w:rStyle w:val="Hyperlink"/>
            <w:color w:val="auto"/>
          </w:rPr>
          <w:t>ave.osman@siseministeerium.ee</w:t>
        </w:r>
      </w:hyperlink>
      <w:r w:rsidRPr="002D5702">
        <w:t>,</w:t>
      </w:r>
      <w:r w:rsidRPr="006F772D">
        <w:t xml:space="preserve"> telefon 612 5242) ning </w:t>
      </w:r>
      <w:r w:rsidR="00A42A47">
        <w:t>korrakaitse- ja kriminaalpoliitika</w:t>
      </w:r>
      <w:r w:rsidRPr="006F772D">
        <w:t xml:space="preserve"> osakonna </w:t>
      </w:r>
      <w:r w:rsidR="00E53D13">
        <w:t>peaspetsialist</w:t>
      </w:r>
      <w:r w:rsidRPr="006F772D">
        <w:t xml:space="preserve"> </w:t>
      </w:r>
      <w:r w:rsidR="00A42A47">
        <w:t>Janika Jakovleva</w:t>
      </w:r>
      <w:r w:rsidRPr="006F772D">
        <w:t xml:space="preserve"> (e-post </w:t>
      </w:r>
      <w:hyperlink r:id="rId12" w:history="1">
        <w:r w:rsidR="00A42A47" w:rsidRPr="00314428">
          <w:rPr>
            <w:rStyle w:val="Hyperlink"/>
            <w:color w:val="auto"/>
          </w:rPr>
          <w:t>janika.jakovleva@siseministeerium.ee</w:t>
        </w:r>
      </w:hyperlink>
      <w:r w:rsidR="00A42A47">
        <w:t>, telefon 612 5055</w:t>
      </w:r>
      <w:r>
        <w:t>).</w:t>
      </w:r>
    </w:p>
    <w:p w14:paraId="55EF3081" w14:textId="77777777" w:rsidR="00E03490" w:rsidRPr="00CD2599" w:rsidRDefault="00E03490" w:rsidP="00E03490">
      <w:pPr>
        <w:spacing w:line="240" w:lineRule="auto"/>
      </w:pPr>
    </w:p>
    <w:p w14:paraId="55EF3082" w14:textId="77777777" w:rsidR="00E03490" w:rsidRDefault="00E03490" w:rsidP="00E03490">
      <w:pPr>
        <w:pStyle w:val="ListParagraph"/>
        <w:numPr>
          <w:ilvl w:val="0"/>
          <w:numId w:val="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Eelnõu sisu ja võrdlev analüüs</w:t>
      </w:r>
    </w:p>
    <w:p w14:paraId="411292FB" w14:textId="2CB85FE5" w:rsidR="00E40789" w:rsidRDefault="00E40789" w:rsidP="00E03490">
      <w:pPr>
        <w:spacing w:line="240" w:lineRule="auto"/>
      </w:pPr>
      <w:r>
        <w:t>Eelnõu koosneb kahest punktist, millest esimesega muudetakse TAT-i ja teine on eelnõu rakendussäte.</w:t>
      </w:r>
    </w:p>
    <w:p w14:paraId="338007F1" w14:textId="77777777" w:rsidR="00ED3EDB" w:rsidRDefault="00ED3EDB" w:rsidP="00E03490">
      <w:pPr>
        <w:spacing w:line="240" w:lineRule="auto"/>
      </w:pPr>
    </w:p>
    <w:p w14:paraId="38439FD5" w14:textId="15578317" w:rsidR="00E40789" w:rsidRDefault="00E40789" w:rsidP="00E03490">
      <w:pPr>
        <w:spacing w:line="240" w:lineRule="auto"/>
      </w:pPr>
      <w:r>
        <w:t>Eelnõu punkti 1 kohaselt tehakse muudatusi TAT-i alljärgnevate punktides.</w:t>
      </w:r>
    </w:p>
    <w:p w14:paraId="55EF3084" w14:textId="77777777" w:rsidR="00E03490" w:rsidRPr="00D709CC" w:rsidRDefault="00E03490" w:rsidP="00E03490">
      <w:pPr>
        <w:spacing w:line="240" w:lineRule="auto"/>
      </w:pPr>
    </w:p>
    <w:p w14:paraId="55EF3085" w14:textId="466CB7B1" w:rsidR="00D11E3D" w:rsidRDefault="00E40789" w:rsidP="00E03490">
      <w:pPr>
        <w:spacing w:line="240" w:lineRule="auto"/>
      </w:pPr>
      <w:r>
        <w:rPr>
          <w:b/>
        </w:rPr>
        <w:t xml:space="preserve">TAT-is </w:t>
      </w:r>
      <w:r>
        <w:t xml:space="preserve">muudetakse ennetusprogrammi nime selliselt, et </w:t>
      </w:r>
      <w:r w:rsidR="00D11E3D">
        <w:t xml:space="preserve">„Käitumisoskuste Mäng“ </w:t>
      </w:r>
      <w:r>
        <w:t xml:space="preserve">kirjutatakse edaspidi </w:t>
      </w:r>
      <w:r w:rsidR="00D11E3D">
        <w:t>esisuurtäh</w:t>
      </w:r>
      <w:r>
        <w:t>ted</w:t>
      </w:r>
      <w:r w:rsidR="00D11E3D">
        <w:t xml:space="preserve">ega, kuna tegemist on metoodika nimega. </w:t>
      </w:r>
    </w:p>
    <w:p w14:paraId="55EF3086" w14:textId="77777777" w:rsidR="008567FD" w:rsidRDefault="008567FD" w:rsidP="00E03490">
      <w:pPr>
        <w:spacing w:line="240" w:lineRule="auto"/>
      </w:pPr>
    </w:p>
    <w:p w14:paraId="55EF3087" w14:textId="77777777" w:rsidR="00552F7F" w:rsidRDefault="00552F7F" w:rsidP="00E03490">
      <w:pPr>
        <w:spacing w:line="240" w:lineRule="auto"/>
      </w:pPr>
      <w:r w:rsidRPr="00E53D13">
        <w:rPr>
          <w:b/>
        </w:rPr>
        <w:t xml:space="preserve">Punktis 1.3.2 </w:t>
      </w:r>
      <w:r w:rsidR="000323FB" w:rsidRPr="00E53D13">
        <w:t xml:space="preserve">asendatakse partnerite loetelus Siseministeeriumi infotehnoloogia- ja arenduskeskus </w:t>
      </w:r>
      <w:r w:rsidR="00E53D13" w:rsidRPr="00E53D13">
        <w:t xml:space="preserve">(edaspidi </w:t>
      </w:r>
      <w:r w:rsidR="00E53D13" w:rsidRPr="00E53D13">
        <w:rPr>
          <w:i/>
        </w:rPr>
        <w:t>SMIT</w:t>
      </w:r>
      <w:r w:rsidR="00E53D13" w:rsidRPr="00E53D13">
        <w:t xml:space="preserve">) </w:t>
      </w:r>
      <w:r w:rsidR="000323FB" w:rsidRPr="00E53D13">
        <w:t>ning Sotsiaalministeerium</w:t>
      </w:r>
      <w:r w:rsidR="00E53D13" w:rsidRPr="00E53D13">
        <w:t xml:space="preserve"> (edaspidi </w:t>
      </w:r>
      <w:r w:rsidR="00E53D13" w:rsidRPr="00E53D13">
        <w:rPr>
          <w:i/>
        </w:rPr>
        <w:t>SOM</w:t>
      </w:r>
      <w:r w:rsidR="00E53D13" w:rsidRPr="00E53D13">
        <w:t>)</w:t>
      </w:r>
      <w:r w:rsidR="000323FB" w:rsidRPr="00E53D13">
        <w:t xml:space="preserve"> PPA-ga, kuna </w:t>
      </w:r>
      <w:r w:rsidR="00E53D13">
        <w:t> </w:t>
      </w:r>
      <w:r w:rsidR="000323FB">
        <w:t>TAT-i muudatusega sätestatakse toetatava tegevuse 2.2 partneriks PPA</w:t>
      </w:r>
      <w:r w:rsidR="00314428">
        <w:t>, kelle vajadustest loodav andme- ja teabevahetuslahendus lähtub</w:t>
      </w:r>
      <w:r w:rsidR="00E53D13">
        <w:t>.</w:t>
      </w:r>
    </w:p>
    <w:p w14:paraId="55EF3088" w14:textId="77777777" w:rsidR="00552F7F" w:rsidRPr="00552F7F" w:rsidRDefault="00552F7F" w:rsidP="00E03490">
      <w:pPr>
        <w:spacing w:line="240" w:lineRule="auto"/>
      </w:pPr>
      <w:r>
        <w:t xml:space="preserve"> </w:t>
      </w:r>
    </w:p>
    <w:p w14:paraId="55EF3089" w14:textId="77777777" w:rsidR="00E03490" w:rsidRDefault="0074643B" w:rsidP="00E03490">
      <w:pPr>
        <w:spacing w:line="240" w:lineRule="auto"/>
        <w:rPr>
          <w:bCs/>
        </w:rPr>
      </w:pPr>
      <w:r>
        <w:rPr>
          <w:b/>
          <w:bCs/>
        </w:rPr>
        <w:t>Punkti</w:t>
      </w:r>
      <w:r w:rsidR="00BE2959">
        <w:rPr>
          <w:b/>
          <w:bCs/>
        </w:rPr>
        <w:t>des</w:t>
      </w:r>
      <w:r>
        <w:rPr>
          <w:b/>
          <w:bCs/>
        </w:rPr>
        <w:t xml:space="preserve"> 2.1.2 </w:t>
      </w:r>
      <w:r w:rsidRPr="0074643B">
        <w:rPr>
          <w:bCs/>
        </w:rPr>
        <w:t>ja</w:t>
      </w:r>
      <w:r w:rsidR="00E03490" w:rsidRPr="0024471F">
        <w:rPr>
          <w:b/>
          <w:bCs/>
        </w:rPr>
        <w:t xml:space="preserve"> 2.1.</w:t>
      </w:r>
      <w:r w:rsidR="00D11E3D">
        <w:rPr>
          <w:b/>
          <w:bCs/>
        </w:rPr>
        <w:t>4.</w:t>
      </w:r>
      <w:r w:rsidR="00E03490" w:rsidRPr="0024471F">
        <w:rPr>
          <w:b/>
          <w:bCs/>
        </w:rPr>
        <w:t>1</w:t>
      </w:r>
      <w:r w:rsidR="00E03490">
        <w:rPr>
          <w:bCs/>
        </w:rPr>
        <w:t xml:space="preserve"> </w:t>
      </w:r>
      <w:r w:rsidR="00D11E3D">
        <w:rPr>
          <w:bCs/>
        </w:rPr>
        <w:t xml:space="preserve">täpsustatakse, et </w:t>
      </w:r>
      <w:r w:rsidR="0045527F">
        <w:rPr>
          <w:bCs/>
        </w:rPr>
        <w:t>Käitumisoskuste Mängu</w:t>
      </w:r>
      <w:r w:rsidR="00BE2959">
        <w:rPr>
          <w:bCs/>
        </w:rPr>
        <w:t xml:space="preserve"> viiakse läbi põhikooli I kooliastme (1.−3. klass) klassides ja </w:t>
      </w:r>
      <w:r w:rsidR="0045527F">
        <w:rPr>
          <w:bCs/>
        </w:rPr>
        <w:t>toetatava tegevuse 2.1</w:t>
      </w:r>
      <w:r w:rsidR="00BE2959">
        <w:rPr>
          <w:bCs/>
        </w:rPr>
        <w:t xml:space="preserve"> sihtrühm </w:t>
      </w:r>
      <w:r w:rsidR="00D11E3D">
        <w:rPr>
          <w:bCs/>
        </w:rPr>
        <w:t>on põhikooli I kooliastme</w:t>
      </w:r>
      <w:r w:rsidR="00BE2959">
        <w:rPr>
          <w:bCs/>
        </w:rPr>
        <w:t xml:space="preserve"> </w:t>
      </w:r>
      <w:r w:rsidR="00D11E3D">
        <w:rPr>
          <w:bCs/>
        </w:rPr>
        <w:t>õpilased</w:t>
      </w:r>
      <w:r w:rsidR="001939C3">
        <w:rPr>
          <w:bCs/>
        </w:rPr>
        <w:t xml:space="preserve"> ja õpetajad</w:t>
      </w:r>
      <w:r w:rsidR="00BE2959">
        <w:rPr>
          <w:bCs/>
        </w:rPr>
        <w:t>, et</w:t>
      </w:r>
      <w:r w:rsidR="005C01DE">
        <w:rPr>
          <w:bCs/>
        </w:rPr>
        <w:t xml:space="preserve"> oleks</w:t>
      </w:r>
      <w:r w:rsidR="00752E06">
        <w:rPr>
          <w:bCs/>
        </w:rPr>
        <w:t xml:space="preserve"> kooskõla põhikooli- ja gümnaasiumiseaduse</w:t>
      </w:r>
      <w:r>
        <w:rPr>
          <w:bCs/>
        </w:rPr>
        <w:t xml:space="preserve">s kasutatava </w:t>
      </w:r>
      <w:r w:rsidR="0045527F">
        <w:rPr>
          <w:bCs/>
        </w:rPr>
        <w:t>mõistega</w:t>
      </w:r>
      <w:r w:rsidR="005C01DE">
        <w:rPr>
          <w:bCs/>
        </w:rPr>
        <w:t xml:space="preserve">. </w:t>
      </w:r>
    </w:p>
    <w:p w14:paraId="55EF308A" w14:textId="77777777" w:rsidR="0045527F" w:rsidRDefault="0045527F" w:rsidP="00E03490">
      <w:pPr>
        <w:spacing w:line="240" w:lineRule="auto"/>
        <w:rPr>
          <w:bCs/>
        </w:rPr>
      </w:pPr>
    </w:p>
    <w:p w14:paraId="55EF308B" w14:textId="1B7F4AC2" w:rsidR="0045527F" w:rsidRDefault="0045527F" w:rsidP="00E03490">
      <w:pPr>
        <w:spacing w:line="240" w:lineRule="auto"/>
        <w:rPr>
          <w:bCs/>
        </w:rPr>
      </w:pPr>
      <w:r>
        <w:rPr>
          <w:b/>
        </w:rPr>
        <w:t>Punktis 2.1.3.</w:t>
      </w:r>
      <w:r w:rsidR="003E1C38">
        <w:rPr>
          <w:b/>
        </w:rPr>
        <w:t>1.</w:t>
      </w:r>
      <w:r>
        <w:rPr>
          <w:b/>
        </w:rPr>
        <w:t>7</w:t>
      </w:r>
      <w:r>
        <w:t xml:space="preserve"> täpsustatakse, et Käitumisoskuste Mängu hindamistegevuste kohta avaldatakse artikleid, sealhulgas teadusartikleid, raporteid või muid sarnaseid materjale,  milles käsitletakse punkti 2.1.3.</w:t>
      </w:r>
      <w:r w:rsidR="00F1337B">
        <w:t>1.</w:t>
      </w:r>
      <w:r>
        <w:t>7. raames toimuvate hindamistegevuste tulemusi.</w:t>
      </w:r>
    </w:p>
    <w:p w14:paraId="55EF308C" w14:textId="77777777" w:rsidR="005C01DE" w:rsidRDefault="005C01DE" w:rsidP="00E03490">
      <w:pPr>
        <w:spacing w:line="240" w:lineRule="auto"/>
        <w:rPr>
          <w:b/>
          <w:bCs/>
        </w:rPr>
      </w:pPr>
    </w:p>
    <w:p w14:paraId="55EF308D" w14:textId="77777777" w:rsidR="00AB42A6" w:rsidRDefault="005C01DE" w:rsidP="00E03490">
      <w:pPr>
        <w:spacing w:line="240" w:lineRule="auto"/>
      </w:pPr>
      <w:r>
        <w:rPr>
          <w:b/>
        </w:rPr>
        <w:t xml:space="preserve">Punktis 2.2 </w:t>
      </w:r>
      <w:r>
        <w:t xml:space="preserve">muudetakse </w:t>
      </w:r>
      <w:r w:rsidR="0058273A">
        <w:t xml:space="preserve"> TAT-i </w:t>
      </w:r>
      <w:r>
        <w:t>elluviija</w:t>
      </w:r>
      <w:r w:rsidR="0058273A">
        <w:t xml:space="preserve"> (Siseministeeriumi korrakaitse- ja kriminaalpoliitika osakond)</w:t>
      </w:r>
      <w:r>
        <w:t xml:space="preserve"> taotlusel toetatava tegevuse „Andme- ja teabevahetuslahenduse loomine </w:t>
      </w:r>
      <w:r>
        <w:lastRenderedPageBreak/>
        <w:t>võrgustikutöö tõhustamiseks“ partnerit</w:t>
      </w:r>
      <w:r w:rsidR="0058273A">
        <w:t xml:space="preserve"> ja</w:t>
      </w:r>
      <w:r>
        <w:t xml:space="preserve"> tegevuse kirjeldust </w:t>
      </w:r>
      <w:r w:rsidR="0058273A">
        <w:t>ning</w:t>
      </w:r>
      <w:r>
        <w:t xml:space="preserve"> </w:t>
      </w:r>
      <w:r w:rsidR="00377442">
        <w:t xml:space="preserve">pikendatakse </w:t>
      </w:r>
      <w:r>
        <w:t xml:space="preserve">elluviimise aega. </w:t>
      </w:r>
      <w:r w:rsidR="00377442">
        <w:t xml:space="preserve">Elluviija viis 2016. </w:t>
      </w:r>
      <w:r w:rsidR="00B417AB">
        <w:t>a</w:t>
      </w:r>
      <w:r w:rsidR="00377442">
        <w:t xml:space="preserve">astal läbi hanke andme- ja teabevahetuslahenduse </w:t>
      </w:r>
      <w:r w:rsidR="00B417AB">
        <w:t xml:space="preserve">kontseptsiooni koostamiseks, millele laekunud pakkumus </w:t>
      </w:r>
      <w:r w:rsidR="0006486E">
        <w:t xml:space="preserve">ületas </w:t>
      </w:r>
      <w:r w:rsidR="00B417AB">
        <w:t>elluviija kui hankija rahalisi võimalusi</w:t>
      </w:r>
      <w:r w:rsidR="0006486E">
        <w:t>. E</w:t>
      </w:r>
      <w:r w:rsidR="00AB42A6">
        <w:t>lluviija</w:t>
      </w:r>
      <w:r w:rsidR="0006486E">
        <w:t xml:space="preserve"> </w:t>
      </w:r>
      <w:r w:rsidR="00AB42A6">
        <w:t xml:space="preserve">otsustas pakkumuse tagasi lükata ning leida </w:t>
      </w:r>
      <w:r w:rsidR="0006486E">
        <w:t>ressursi</w:t>
      </w:r>
      <w:r w:rsidR="00AB42A6">
        <w:t>tõhusam lahendus</w:t>
      </w:r>
      <w:r w:rsidR="0006486E">
        <w:t>, et andme- ja teabevahetuslahenduse loomise tegevus saaks edukalt teostatud ja toetus oleks kasutatud säästlikult</w:t>
      </w:r>
      <w:r w:rsidR="00B417AB">
        <w:t xml:space="preserve">. </w:t>
      </w:r>
      <w:r w:rsidR="0006486E">
        <w:t>Tulenevalt sellest, et andme- ja teabevahetuslahendus luuakse eelkõige PPA töö lihtsust</w:t>
      </w:r>
      <w:r w:rsidR="00E53D13">
        <w:t>amiseks ning et PPA-l on vahetu</w:t>
      </w:r>
      <w:r w:rsidR="0006486E">
        <w:t xml:space="preserve"> teadmine selle kohta, kellega andmeid ja teavet on vahetada vaja</w:t>
      </w:r>
      <w:r w:rsidR="00420533">
        <w:t xml:space="preserve">, </w:t>
      </w:r>
      <w:r w:rsidR="0058273A">
        <w:t xml:space="preserve">esitas </w:t>
      </w:r>
      <w:r w:rsidR="00420533">
        <w:t>elluviija</w:t>
      </w:r>
      <w:r w:rsidR="0058273A">
        <w:t xml:space="preserve"> rakendusasutusele</w:t>
      </w:r>
      <w:r w:rsidR="00420533">
        <w:t xml:space="preserve"> </w:t>
      </w:r>
      <w:r w:rsidR="0058273A">
        <w:t>(Siseministeeriumi välisvahendite osakond</w:t>
      </w:r>
      <w:r w:rsidR="0069317C">
        <w:t xml:space="preserve">, edaspidi </w:t>
      </w:r>
      <w:r w:rsidR="0069317C">
        <w:rPr>
          <w:i/>
        </w:rPr>
        <w:t>RA</w:t>
      </w:r>
      <w:r w:rsidR="0058273A">
        <w:t xml:space="preserve">) </w:t>
      </w:r>
      <w:r w:rsidR="00420533">
        <w:t xml:space="preserve">taotluse </w:t>
      </w:r>
      <w:r w:rsidR="0006486E">
        <w:t>määrata</w:t>
      </w:r>
      <w:r w:rsidR="0058273A">
        <w:t xml:space="preserve"> </w:t>
      </w:r>
      <w:r w:rsidR="00E53D13">
        <w:t xml:space="preserve">toetatava </w:t>
      </w:r>
      <w:r w:rsidR="0006486E">
        <w:t>tegevuse partneriks PPA</w:t>
      </w:r>
      <w:r w:rsidR="00AB42A6">
        <w:t xml:space="preserve">. Kavandatud muudatuse on elluviija kooskõlastanud ka TAT-i punktis 2.2.1.2 mainitud juhtrühmaga, kuhu kuuluvad Siseministeeriumi, </w:t>
      </w:r>
      <w:r w:rsidR="00E97309">
        <w:t>SOM-i</w:t>
      </w:r>
      <w:r w:rsidR="00AB42A6">
        <w:t xml:space="preserve">, </w:t>
      </w:r>
      <w:r w:rsidR="00552F7F">
        <w:t>Riigi Infosüsteemi Ameti</w:t>
      </w:r>
      <w:r w:rsidR="00AB42A6">
        <w:t>,</w:t>
      </w:r>
      <w:r w:rsidR="00552F7F">
        <w:t xml:space="preserve"> PPA</w:t>
      </w:r>
      <w:r w:rsidR="00AB42A6">
        <w:t xml:space="preserve"> ning </w:t>
      </w:r>
      <w:r w:rsidR="00E97309">
        <w:t>SMIT-i</w:t>
      </w:r>
      <w:r w:rsidR="00C33CFE">
        <w:t xml:space="preserve"> </w:t>
      </w:r>
      <w:r w:rsidR="00AB42A6">
        <w:t xml:space="preserve">esindajad. </w:t>
      </w:r>
      <w:r w:rsidR="0069317C">
        <w:t>RA</w:t>
      </w:r>
      <w:r w:rsidR="0058273A">
        <w:t xml:space="preserve"> on muudatuse mitteametlikult kooskõlastanud nii rakendusüksuse (SA Innove</w:t>
      </w:r>
      <w:r w:rsidR="0069317C">
        <w:t xml:space="preserve">, edaspidi </w:t>
      </w:r>
      <w:r w:rsidR="0069317C">
        <w:rPr>
          <w:i/>
        </w:rPr>
        <w:t>RÜ</w:t>
      </w:r>
      <w:r w:rsidR="0058273A">
        <w:t>) kui korraldusasutusega (Rahandusministeerium).</w:t>
      </w:r>
    </w:p>
    <w:p w14:paraId="55EF308E" w14:textId="77777777" w:rsidR="00925F60" w:rsidRDefault="00925F60" w:rsidP="00E03490">
      <w:pPr>
        <w:spacing w:line="240" w:lineRule="auto"/>
      </w:pPr>
    </w:p>
    <w:p w14:paraId="01DA1E90" w14:textId="77777777" w:rsidR="00ED3EDB" w:rsidRDefault="00B46D53" w:rsidP="00925F60">
      <w:pPr>
        <w:spacing w:line="240" w:lineRule="auto"/>
      </w:pPr>
      <w:r w:rsidRPr="00684E51">
        <w:rPr>
          <w:b/>
        </w:rPr>
        <w:t>Punktiga</w:t>
      </w:r>
      <w:r w:rsidR="00121FC3" w:rsidRPr="00684E51">
        <w:rPr>
          <w:b/>
        </w:rPr>
        <w:t xml:space="preserve"> 2.2.1.1 </w:t>
      </w:r>
      <w:r w:rsidRPr="00684E51">
        <w:t>sätestatakse</w:t>
      </w:r>
      <w:r w:rsidRPr="006B32D9">
        <w:t>,</w:t>
      </w:r>
      <w:r w:rsidRPr="006B32D9">
        <w:rPr>
          <w:shd w:val="clear" w:color="auto" w:fill="FFFFFF"/>
        </w:rPr>
        <w:t xml:space="preserve"> </w:t>
      </w:r>
      <w:r w:rsidRPr="00E97309">
        <w:t xml:space="preserve">et elluviija partneriks on PPA. </w:t>
      </w:r>
      <w:r w:rsidR="00E40789">
        <w:t>Praegu kehtivas TAT-is on</w:t>
      </w:r>
      <w:r w:rsidR="00E23803" w:rsidRPr="00E97309">
        <w:t xml:space="preserve"> elluviija partneriteks </w:t>
      </w:r>
      <w:r w:rsidR="00E97309" w:rsidRPr="00E97309">
        <w:t xml:space="preserve">SMIT </w:t>
      </w:r>
      <w:r w:rsidR="00E23803" w:rsidRPr="00E97309">
        <w:t xml:space="preserve">ning </w:t>
      </w:r>
      <w:r w:rsidR="00E97309" w:rsidRPr="00E97309">
        <w:t>SOM</w:t>
      </w:r>
      <w:r w:rsidR="00E23803" w:rsidRPr="00E97309">
        <w:t xml:space="preserve">.  </w:t>
      </w:r>
      <w:r w:rsidR="00E40789">
        <w:t>P</w:t>
      </w:r>
      <w:r w:rsidR="00E23803" w:rsidRPr="00E97309">
        <w:t>artnerid olid määratud vastavalt sellele, kes on olemasolevate andmekogude omanikud ja vastutavad töötlejad</w:t>
      </w:r>
      <w:r w:rsidR="00E40789">
        <w:t xml:space="preserve"> -</w:t>
      </w:r>
      <w:r w:rsidR="00E23803" w:rsidRPr="00E97309">
        <w:t xml:space="preserve"> SMIT vastutab politsei andmekogude ning SOM sotsiaalteenuste ja -toetuste andmeregistri haldamise ja arendamise eest. </w:t>
      </w:r>
      <w:r w:rsidR="00FE1C92">
        <w:t xml:space="preserve">Kuna andme- ja teabevahetuslahendus luuakse eelkõige PPA töö </w:t>
      </w:r>
      <w:r w:rsidR="00995645">
        <w:t>tõhus</w:t>
      </w:r>
      <w:r w:rsidR="00FE1C92">
        <w:t xml:space="preserve">tamiseks, on PPA-l vahetu teadmine selle kohta, milliste andmete ja teabe vahetust ning kellega on vaja </w:t>
      </w:r>
      <w:r w:rsidR="00995645">
        <w:t>parendada</w:t>
      </w:r>
      <w:r w:rsidR="00FE1C92">
        <w:t>. PPA sätestamine partnerina võimaldab luua PPA vajadustele vastava andme- ja teabevahetuslahenduse kontseptsiooni ja lahenduse.</w:t>
      </w:r>
    </w:p>
    <w:p w14:paraId="69B90544" w14:textId="77777777" w:rsidR="00ED3EDB" w:rsidRDefault="00ED3EDB" w:rsidP="00925F60">
      <w:pPr>
        <w:spacing w:line="240" w:lineRule="auto"/>
      </w:pPr>
    </w:p>
    <w:p w14:paraId="55EF3090" w14:textId="27D32180" w:rsidR="00925F60" w:rsidRDefault="00925F60" w:rsidP="00925F60">
      <w:pPr>
        <w:spacing w:line="240" w:lineRule="auto"/>
      </w:pPr>
      <w:r w:rsidRPr="006B32D9">
        <w:rPr>
          <w:shd w:val="clear" w:color="auto" w:fill="FFFFFF"/>
        </w:rPr>
        <w:t xml:space="preserve">Kuna </w:t>
      </w:r>
      <w:r>
        <w:t xml:space="preserve">Siseministeeriumi info- ja kommunikatsioonitehnoloogia teenuste osutamise põhimõtete kohaselt osutab </w:t>
      </w:r>
      <w:r w:rsidR="00E97309">
        <w:t>Siseministeeriumi</w:t>
      </w:r>
      <w:r>
        <w:t xml:space="preserve"> haldusalas info- ja kommunikatsioonitehnoloogia teenuseid SMIT, jääb SMIT tegevuste elluviimisesse kaasatuks seeläbi, et PPA tellib temalt lahenduse loomise ja arendamise ning vajadusel kasutajate koolitamise. </w:t>
      </w:r>
      <w:r w:rsidR="00E97309">
        <w:t xml:space="preserve">PPA täpsustab kontseptsiooni loomise käigus, millistesse </w:t>
      </w:r>
      <w:r w:rsidR="00995645">
        <w:t>SOM-i, vajaduse korral ka teiste ministeeriumide,</w:t>
      </w:r>
      <w:r w:rsidR="00E97309">
        <w:t xml:space="preserve"> haldusalasse jäävatesse </w:t>
      </w:r>
      <w:r w:rsidR="00747FB7">
        <w:t>infosüsteemidesse</w:t>
      </w:r>
      <w:r w:rsidR="00995645">
        <w:t xml:space="preserve"> on </w:t>
      </w:r>
      <w:r w:rsidR="00E97309">
        <w:t>juurdepääsu</w:t>
      </w:r>
      <w:r w:rsidR="00995645">
        <w:t xml:space="preserve"> vaja</w:t>
      </w:r>
      <w:r w:rsidR="00E97309">
        <w:t xml:space="preserve"> ning tellib arendused</w:t>
      </w:r>
      <w:r w:rsidR="00995645">
        <w:t xml:space="preserve"> nende </w:t>
      </w:r>
      <w:r w:rsidR="00747FB7">
        <w:t>süsteemide</w:t>
      </w:r>
      <w:r w:rsidR="00995645">
        <w:t xml:space="preserve"> vastutavatelt töötlejatelt.</w:t>
      </w:r>
    </w:p>
    <w:p w14:paraId="55EF3091" w14:textId="77777777" w:rsidR="00121FC3" w:rsidRDefault="00121FC3" w:rsidP="00E03490">
      <w:pPr>
        <w:spacing w:line="240" w:lineRule="auto"/>
        <w:rPr>
          <w:b/>
        </w:rPr>
      </w:pPr>
    </w:p>
    <w:p w14:paraId="55EF3092" w14:textId="77777777" w:rsidR="00080D05" w:rsidRDefault="001B216C" w:rsidP="00E03490">
      <w:pPr>
        <w:spacing w:line="240" w:lineRule="auto"/>
      </w:pPr>
      <w:r>
        <w:rPr>
          <w:b/>
        </w:rPr>
        <w:t>Punktis 2.</w:t>
      </w:r>
      <w:r w:rsidR="00080D05">
        <w:rPr>
          <w:b/>
        </w:rPr>
        <w:t>2.</w:t>
      </w:r>
      <w:r>
        <w:rPr>
          <w:b/>
        </w:rPr>
        <w:t xml:space="preserve">1.3 </w:t>
      </w:r>
      <w:r w:rsidR="00080D05">
        <w:t>täpsustatakse, mis on partneri</w:t>
      </w:r>
      <w:r w:rsidR="00B46D53">
        <w:t xml:space="preserve"> PPA</w:t>
      </w:r>
      <w:r w:rsidR="00080D05">
        <w:t xml:space="preserve"> ülesanded toetatava tegevuse raames. </w:t>
      </w:r>
    </w:p>
    <w:p w14:paraId="55EF3093" w14:textId="77777777" w:rsidR="004E5743" w:rsidRDefault="004E5743" w:rsidP="00E03490">
      <w:pPr>
        <w:spacing w:line="240" w:lineRule="auto"/>
      </w:pPr>
    </w:p>
    <w:p w14:paraId="55EF3095" w14:textId="48480A11" w:rsidR="001B216C" w:rsidRDefault="004E5743" w:rsidP="00E03490">
      <w:pPr>
        <w:spacing w:line="240" w:lineRule="auto"/>
      </w:pPr>
      <w:r>
        <w:rPr>
          <w:b/>
        </w:rPr>
        <w:t xml:space="preserve">Punktis 2.2.2.1 </w:t>
      </w:r>
      <w:r>
        <w:t xml:space="preserve">asendatakse senine viide konkreetsele </w:t>
      </w:r>
      <w:r w:rsidR="001E28A1">
        <w:t>infosüsteemile</w:t>
      </w:r>
      <w:r>
        <w:t xml:space="preserve"> (</w:t>
      </w:r>
      <w:r w:rsidR="001C5A7D" w:rsidRPr="00427D19">
        <w:rPr>
          <w:rFonts w:eastAsiaTheme="majorEastAsia"/>
          <w:bCs/>
        </w:rPr>
        <w:t>sotsiaalteenuste</w:t>
      </w:r>
      <w:r w:rsidR="00E81AA3">
        <w:rPr>
          <w:rFonts w:eastAsiaTheme="majorEastAsia"/>
          <w:bCs/>
        </w:rPr>
        <w:t xml:space="preserve"> </w:t>
      </w:r>
      <w:r w:rsidR="001C5A7D" w:rsidRPr="00427D19">
        <w:rPr>
          <w:rFonts w:eastAsiaTheme="majorEastAsia"/>
          <w:bCs/>
        </w:rPr>
        <w:t>ja</w:t>
      </w:r>
      <w:r w:rsidR="00E81AA3">
        <w:rPr>
          <w:rFonts w:eastAsiaTheme="majorEastAsia"/>
          <w:bCs/>
        </w:rPr>
        <w:t xml:space="preserve"> </w:t>
      </w:r>
      <w:r w:rsidR="001C5A7D">
        <w:rPr>
          <w:rFonts w:eastAsiaTheme="majorEastAsia"/>
          <w:bCs/>
        </w:rPr>
        <w:t>-</w:t>
      </w:r>
      <w:r w:rsidR="001C5A7D" w:rsidRPr="00427D19">
        <w:rPr>
          <w:rFonts w:eastAsiaTheme="majorEastAsia"/>
          <w:bCs/>
        </w:rPr>
        <w:t>toetuste</w:t>
      </w:r>
      <w:r w:rsidR="00E81AA3">
        <w:rPr>
          <w:rFonts w:eastAsiaTheme="majorEastAsia"/>
          <w:bCs/>
        </w:rPr>
        <w:t xml:space="preserve"> </w:t>
      </w:r>
      <w:r w:rsidR="001E28A1">
        <w:rPr>
          <w:rFonts w:eastAsiaTheme="majorEastAsia"/>
          <w:bCs/>
        </w:rPr>
        <w:t>andmeregister</w:t>
      </w:r>
      <w:r w:rsidR="001C5A7D" w:rsidRPr="00427D19">
        <w:rPr>
          <w:rFonts w:eastAsiaTheme="majorEastAsia"/>
          <w:bCs/>
        </w:rPr>
        <w:t xml:space="preserve"> STAR</w:t>
      </w:r>
      <w:r>
        <w:t>) üldisema sõnastusega, kuna võrreldes TAT-is seni sätestatuga on PPA hinnangul vajadus praeguseks laienenud. Loodava andme- ja teabevahetuslahenduse kontseptsiooni koostamise käigus k</w:t>
      </w:r>
      <w:r w:rsidRPr="00427D19">
        <w:t xml:space="preserve">irjeldatakse, missugust teavet on vaja riskis olevate isikute ja perede </w:t>
      </w:r>
      <w:r w:rsidR="001E28A1">
        <w:t>juhtumitega tegelemiseks ja probleemide lahendamiseks</w:t>
      </w:r>
      <w:r w:rsidR="001C5A7D">
        <w:t>,</w:t>
      </w:r>
      <w:r>
        <w:t xml:space="preserve"> </w:t>
      </w:r>
      <w:r w:rsidR="009A1F94">
        <w:t>ning</w:t>
      </w:r>
      <w:r>
        <w:t xml:space="preserve"> </w:t>
      </w:r>
      <w:r w:rsidR="001C5A7D">
        <w:t>määrat</w:t>
      </w:r>
      <w:r w:rsidR="00E81AA3">
        <w:t>a</w:t>
      </w:r>
      <w:r w:rsidR="001C5A7D">
        <w:t xml:space="preserve">kse, </w:t>
      </w:r>
      <w:r>
        <w:t xml:space="preserve">milliste </w:t>
      </w:r>
      <w:r w:rsidR="001C5A7D">
        <w:t xml:space="preserve">kontseptsioonis kirjeldatud osapoolte </w:t>
      </w:r>
      <w:r w:rsidR="001E28A1">
        <w:t>infosüsteemide</w:t>
      </w:r>
      <w:r w:rsidR="001C5A7D">
        <w:t xml:space="preserve"> vahel andme- ja teabevahetus</w:t>
      </w:r>
      <w:r w:rsidR="009A1F94">
        <w:t>t luua on vaja</w:t>
      </w:r>
      <w:r w:rsidR="00ED3EDB">
        <w:t>.</w:t>
      </w:r>
    </w:p>
    <w:p w14:paraId="6E7637D0" w14:textId="77777777" w:rsidR="00ED3EDB" w:rsidRPr="001B216C" w:rsidRDefault="00ED3EDB" w:rsidP="00E03490">
      <w:pPr>
        <w:spacing w:line="240" w:lineRule="auto"/>
      </w:pPr>
    </w:p>
    <w:p w14:paraId="55EF3096" w14:textId="77777777" w:rsidR="00B35B5D" w:rsidRDefault="00AB42A6" w:rsidP="00BA0876">
      <w:pPr>
        <w:spacing w:line="240" w:lineRule="auto"/>
      </w:pPr>
      <w:r>
        <w:rPr>
          <w:b/>
        </w:rPr>
        <w:t>Punktis 2.2.3</w:t>
      </w:r>
      <w:r>
        <w:t xml:space="preserve"> ühendatakse senised kaks alategevust</w:t>
      </w:r>
      <w:r w:rsidR="00080D05">
        <w:t xml:space="preserve"> (</w:t>
      </w:r>
      <w:r w:rsidR="001E28A1">
        <w:t>a</w:t>
      </w:r>
      <w:r w:rsidR="00080D05">
        <w:t>ndme- ja teabevahetuslahenduse kontseptsiooni koostamine ning andme- ja teabevahenduslahenduse arendamine ja kasutajate koolitamine)</w:t>
      </w:r>
      <w:r>
        <w:t xml:space="preserve"> üheks, et võimaldada ajalist paindlikkust </w:t>
      </w:r>
      <w:r w:rsidR="00BA0876">
        <w:t>alategevuste</w:t>
      </w:r>
      <w:r>
        <w:t xml:space="preserve"> elluviimisel. </w:t>
      </w:r>
    </w:p>
    <w:p w14:paraId="55EF3097" w14:textId="77777777" w:rsidR="00B35B5D" w:rsidRDefault="00B35B5D" w:rsidP="00BA0876">
      <w:pPr>
        <w:spacing w:line="240" w:lineRule="auto"/>
      </w:pPr>
    </w:p>
    <w:p w14:paraId="55EF3098" w14:textId="77777777" w:rsidR="00B35B5D" w:rsidRDefault="00B35B5D" w:rsidP="00BA0876">
      <w:pPr>
        <w:spacing w:line="240" w:lineRule="auto"/>
      </w:pPr>
      <w:r w:rsidRPr="009F2AD4">
        <w:rPr>
          <w:u w:val="single"/>
        </w:rPr>
        <w:t>Punktiga 2.2.3.1.4</w:t>
      </w:r>
      <w:r>
        <w:t xml:space="preserve"> sätestatakse, et toetatava tegevuse raames tellib PPA andme- ja teabevahetuslahenduse loomise, millega luuakse võimalus teha andmepäringuid olemasolevatesse</w:t>
      </w:r>
      <w:r w:rsidR="001E28A1">
        <w:t>,</w:t>
      </w:r>
      <w:r w:rsidR="00684E51">
        <w:t xml:space="preserve"> kontseptsioonis </w:t>
      </w:r>
      <w:r w:rsidR="00E81AA3">
        <w:t>ette nähtud</w:t>
      </w:r>
      <w:r>
        <w:t xml:space="preserve"> infosüsteemidesse. See tähendab, et ühtegi infosüsteemi juurde ei looda, küll aga võimaldatakse nendel infosüsteemidel, mille suhtes kontseptsioon vajaduse välja selgitab, omavahel suhelda ehk andmeid vahetada.</w:t>
      </w:r>
      <w:r w:rsidR="00706BF9">
        <w:t xml:space="preserve"> </w:t>
      </w:r>
    </w:p>
    <w:p w14:paraId="55EF3099" w14:textId="77777777" w:rsidR="00706BF9" w:rsidRDefault="00706BF9" w:rsidP="00BA0876">
      <w:pPr>
        <w:spacing w:line="240" w:lineRule="auto"/>
      </w:pPr>
    </w:p>
    <w:p w14:paraId="55EF309A" w14:textId="77777777" w:rsidR="00AB42A6" w:rsidRDefault="00B35B5D" w:rsidP="00BA0876">
      <w:pPr>
        <w:spacing w:line="240" w:lineRule="auto"/>
      </w:pPr>
      <w:r w:rsidRPr="009F2AD4">
        <w:rPr>
          <w:u w:val="single"/>
        </w:rPr>
        <w:t>Punktis 2.2.3.1.8</w:t>
      </w:r>
      <w:r>
        <w:rPr>
          <w:b/>
        </w:rPr>
        <w:t xml:space="preserve"> </w:t>
      </w:r>
      <w:r>
        <w:t xml:space="preserve">sätestatakse, et toetatava tegevuse elluviimise aeg on </w:t>
      </w:r>
      <w:r>
        <w:lastRenderedPageBreak/>
        <w:t>01.01.2017−31.12.2019, kuna tu</w:t>
      </w:r>
      <w:r w:rsidR="00AB42A6">
        <w:t xml:space="preserve">lenevalt </w:t>
      </w:r>
      <w:r w:rsidR="00BA0876">
        <w:t>toetatava tegevuse raames läbi viidud hanke luhtumisest ja uue partneri määramisest on vaja pikendada tegevuse elluviimise kestust</w:t>
      </w:r>
      <w:r w:rsidR="00080D05">
        <w:t xml:space="preserve"> 2019. aasta lõpuni</w:t>
      </w:r>
      <w:r w:rsidR="00BA0876">
        <w:t xml:space="preserve">. </w:t>
      </w:r>
      <w:r w:rsidR="00AB42A6">
        <w:t xml:space="preserve"> </w:t>
      </w:r>
    </w:p>
    <w:p w14:paraId="55EF309B" w14:textId="77777777" w:rsidR="00E03490" w:rsidRDefault="00E03490" w:rsidP="00E03490">
      <w:pPr>
        <w:spacing w:line="240" w:lineRule="auto"/>
        <w:rPr>
          <w:b/>
        </w:rPr>
      </w:pPr>
    </w:p>
    <w:p w14:paraId="55EF309C" w14:textId="77777777" w:rsidR="005B4DA8" w:rsidRDefault="00E03490" w:rsidP="00E03490">
      <w:pPr>
        <w:spacing w:line="240" w:lineRule="auto"/>
      </w:pPr>
      <w:r>
        <w:rPr>
          <w:b/>
        </w:rPr>
        <w:t>Punkt</w:t>
      </w:r>
      <w:r w:rsidR="00747FB7">
        <w:rPr>
          <w:b/>
        </w:rPr>
        <w:t>is</w:t>
      </w:r>
      <w:r w:rsidRPr="00C44C9C">
        <w:rPr>
          <w:b/>
        </w:rPr>
        <w:t xml:space="preserve"> 3</w:t>
      </w:r>
      <w:r>
        <w:t xml:space="preserve"> nimetatakse </w:t>
      </w:r>
      <w:r w:rsidR="00843868">
        <w:t xml:space="preserve">rakenduskava </w:t>
      </w:r>
      <w:r w:rsidR="00F21DBA">
        <w:t xml:space="preserve">ja </w:t>
      </w:r>
      <w:r w:rsidR="00843868">
        <w:t>meetme tegevuse 2.7.4</w:t>
      </w:r>
      <w:r w:rsidR="00F21DBA">
        <w:t xml:space="preserve"> väljundnäitajasse panustavad</w:t>
      </w:r>
      <w:r w:rsidR="00843868">
        <w:t xml:space="preserve"> näitajad</w:t>
      </w:r>
      <w:r>
        <w:t xml:space="preserve"> ümber </w:t>
      </w:r>
      <w:r w:rsidRPr="00114518">
        <w:rPr>
          <w:b/>
        </w:rPr>
        <w:t>tulemusnäitajateks</w:t>
      </w:r>
      <w:r>
        <w:t xml:space="preserve">, et näitajate üldnimetused vastaksid </w:t>
      </w:r>
      <w:r w:rsidR="00114518">
        <w:t>korraldusasutuse</w:t>
      </w:r>
      <w:r>
        <w:t xml:space="preserve"> TAT-de koostamise juhendile, mille kohaselt meetme tegevuse väljundnäitaja on toetatava tegevuse tulemusnäitaja.</w:t>
      </w:r>
      <w:r w:rsidR="005B4DA8">
        <w:t xml:space="preserve"> Punkti 3 tabeli veerus „Selgitus“ on kirjas, millised näitajad panustavad rakenduskava väljundnäitajasse ning millised on TAT-spetsiifilised. </w:t>
      </w:r>
      <w:r w:rsidR="00843868">
        <w:t>TAT-spetsiifilisi väljundnäitajaid ümber ei nimetata</w:t>
      </w:r>
      <w:r w:rsidR="005B4DA8">
        <w:t xml:space="preserve">. </w:t>
      </w:r>
    </w:p>
    <w:p w14:paraId="0EB71069" w14:textId="77777777" w:rsidR="00ED3EDB" w:rsidRDefault="00ED3EDB" w:rsidP="00E03490">
      <w:pPr>
        <w:spacing w:line="240" w:lineRule="auto"/>
      </w:pPr>
    </w:p>
    <w:p w14:paraId="55EF309D" w14:textId="77777777" w:rsidR="00E2388B" w:rsidRDefault="00E2388B" w:rsidP="00E03490">
      <w:pPr>
        <w:spacing w:line="240" w:lineRule="auto"/>
      </w:pPr>
      <w:r>
        <w:t>Toetatava tegevuse 2.3 tulemusnäitaja nimetus „Teenust saanute arv“ muudetakse nimetuseks „</w:t>
      </w:r>
      <w:r w:rsidRPr="00114518">
        <w:rPr>
          <w:b/>
        </w:rPr>
        <w:t>Juhtumikorralduse mudelist kasusaajate arv</w:t>
      </w:r>
      <w:r>
        <w:t>“, et oleks selgem, et näitaja all ei peeta silmas üks</w:t>
      </w:r>
      <w:r w:rsidR="00DA5E99">
        <w:t>nes neid isikuid, kelle juhtumi</w:t>
      </w:r>
      <w:r>
        <w:t>t juhtumikorralduse mudeli abil lahendatakse</w:t>
      </w:r>
      <w:r w:rsidR="00DA5E99">
        <w:t xml:space="preserve"> ja keda mudeli </w:t>
      </w:r>
      <w:r w:rsidR="00114518">
        <w:t xml:space="preserve">raames suunatakse vajalikele olemasolevatele </w:t>
      </w:r>
      <w:r w:rsidR="00DA5E99">
        <w:t>teenustele</w:t>
      </w:r>
      <w:r>
        <w:t xml:space="preserve">, vaid ka </w:t>
      </w:r>
      <w:r w:rsidR="00DA5E99">
        <w:t>nende perekonna liikmeid (eelkõige lapsed), keda võib-olla teenustele ei s</w:t>
      </w:r>
      <w:r w:rsidR="00114518">
        <w:t>uunata</w:t>
      </w:r>
      <w:r w:rsidR="00DA5E99">
        <w:t>, kuid kelle heaolu juhtum mõjutab.</w:t>
      </w:r>
      <w:r>
        <w:t xml:space="preserve"> </w:t>
      </w:r>
    </w:p>
    <w:p w14:paraId="55EF309E" w14:textId="77777777" w:rsidR="00114518" w:rsidRDefault="00114518" w:rsidP="00E03490">
      <w:pPr>
        <w:spacing w:line="240" w:lineRule="auto"/>
      </w:pPr>
    </w:p>
    <w:p w14:paraId="55EF309F" w14:textId="77777777" w:rsidR="00E03490" w:rsidRDefault="005B4DA8" w:rsidP="00E03490">
      <w:pPr>
        <w:spacing w:line="240" w:lineRule="auto"/>
      </w:pPr>
      <w:r w:rsidRPr="00E53D13">
        <w:t xml:space="preserve">Toetatava tegevuse 2.1 </w:t>
      </w:r>
      <w:r w:rsidR="00B41859">
        <w:t xml:space="preserve">tulemusnäitaja „Programmis osalejate arv“ </w:t>
      </w:r>
      <w:r w:rsidRPr="00E53D13">
        <w:t xml:space="preserve">ja </w:t>
      </w:r>
      <w:r w:rsidR="00B41859">
        <w:t xml:space="preserve">toetatava tegevuse </w:t>
      </w:r>
      <w:r w:rsidRPr="00E53D13">
        <w:t>2.3</w:t>
      </w:r>
      <w:r w:rsidR="00B41859">
        <w:t xml:space="preserve"> tulemusnäitaja „Juhtumikorralduse mudelist kasusaajate arv“ </w:t>
      </w:r>
      <w:r w:rsidRPr="00E53D13">
        <w:t>selgitus</w:t>
      </w:r>
      <w:r w:rsidR="00B41859">
        <w:t>tes</w:t>
      </w:r>
      <w:r w:rsidRPr="00E53D13">
        <w:t>se l</w:t>
      </w:r>
      <w:r w:rsidR="00AF4523" w:rsidRPr="00E53D13">
        <w:t>isatakse joonealu</w:t>
      </w:r>
      <w:r w:rsidR="00843868" w:rsidRPr="00E53D13">
        <w:t>s</w:t>
      </w:r>
      <w:r w:rsidR="00AF4523" w:rsidRPr="00E53D13">
        <w:t>e märkus</w:t>
      </w:r>
      <w:r w:rsidRPr="00E53D13">
        <w:t xml:space="preserve">ena, et </w:t>
      </w:r>
      <w:r w:rsidR="00B41859">
        <w:t>rakenduskava muutmisel muudetakse rakenduskava väljundnäitaja nimetus „Võrgustikutöö teenusest kasusaajate arv“ nimetuseks „</w:t>
      </w:r>
      <w:r w:rsidR="00B41859" w:rsidRPr="00114518">
        <w:rPr>
          <w:b/>
        </w:rPr>
        <w:t>Ennetusteenusest kasusaajate arv</w:t>
      </w:r>
      <w:r w:rsidR="00B41859">
        <w:t>“ ja sellele järgneva meetmete nimekirja muutmisel muudetakse väljundnäitaja nimetus „Teenust saanute arv“ samuti nimetuseks „Ennetusteenusest kasusaajate arv“. Uus nimetus hõlmab selgemini nii Käitumisoskuste Mängust kui juhtumikorralduse mudelist kasusaajaid.</w:t>
      </w:r>
      <w:r w:rsidR="00372617">
        <w:t xml:space="preserve"> </w:t>
      </w:r>
      <w:r w:rsidR="00372617" w:rsidRPr="00372617">
        <w:t>Käitumisoskuste Mäng on mõeldud käitumisprobleemide ja sellest tuleneda võiva sotsiaalse tõrjutuse ennetamiseks, juhtumikorralduse mudel aga lähisuhtevägivalla ohvriks langemise ja sellest lähtuva sotsiaalse tõrjutuse ennetamiseks.</w:t>
      </w:r>
      <w:r w:rsidR="00B41859">
        <w:t xml:space="preserve"> </w:t>
      </w:r>
      <w:r w:rsidR="00F21DBA">
        <w:t>Joonealune märkus lisatakse selleks, et rakenduskava</w:t>
      </w:r>
      <w:r w:rsidR="00B41859">
        <w:t xml:space="preserve"> ja meetmete nimekirja</w:t>
      </w:r>
      <w:r w:rsidR="00F21DBA">
        <w:t xml:space="preserve"> muudatuse kinnitamise järel ei peaks TAT-i uuesti muutma.</w:t>
      </w:r>
      <w:r w:rsidR="00E27D55">
        <w:t xml:space="preserve"> </w:t>
      </w:r>
    </w:p>
    <w:p w14:paraId="55EF30A0" w14:textId="77777777" w:rsidR="00E53D13" w:rsidRDefault="00E53D13" w:rsidP="00E03490">
      <w:pPr>
        <w:spacing w:line="240" w:lineRule="auto"/>
        <w:rPr>
          <w:b/>
        </w:rPr>
      </w:pPr>
    </w:p>
    <w:p w14:paraId="55EF30A1" w14:textId="77777777" w:rsidR="00E03490" w:rsidRDefault="00E03490" w:rsidP="00E03490">
      <w:pPr>
        <w:spacing w:line="240" w:lineRule="auto"/>
      </w:pPr>
      <w:r>
        <w:rPr>
          <w:b/>
        </w:rPr>
        <w:t>Punkt</w:t>
      </w:r>
      <w:r w:rsidRPr="00C44C9C">
        <w:rPr>
          <w:b/>
        </w:rPr>
        <w:t xml:space="preserve"> 6</w:t>
      </w:r>
      <w:r>
        <w:t xml:space="preserve"> kehtestatakse uues redaktsioonis</w:t>
      </w:r>
      <w:r w:rsidR="0069317C">
        <w:t>. V</w:t>
      </w:r>
      <w:r>
        <w:t>õrreldes senise redaktsiooniga</w:t>
      </w:r>
      <w:r w:rsidR="0069317C">
        <w:t xml:space="preserve"> on seda</w:t>
      </w:r>
      <w:r>
        <w:t xml:space="preserve"> täiendatud informatsiooniga partnerite abikõlblike kulude kohta vastavalt STS § 16 lg 1 punktis 3 nõutule. Esitatud teabe kergemini lugemiseks muudetakse eelarve tabeli kujundust. </w:t>
      </w:r>
    </w:p>
    <w:p w14:paraId="55EF30A2" w14:textId="77777777" w:rsidR="00E03490" w:rsidRDefault="00E03490" w:rsidP="00E03490">
      <w:pPr>
        <w:spacing w:line="240" w:lineRule="auto"/>
        <w:rPr>
          <w:b/>
        </w:rPr>
      </w:pPr>
    </w:p>
    <w:p w14:paraId="55EF30A3" w14:textId="77777777" w:rsidR="00E03490" w:rsidRDefault="00E03490" w:rsidP="00E03490">
      <w:pPr>
        <w:spacing w:line="240" w:lineRule="auto"/>
        <w:rPr>
          <w:bCs/>
        </w:rPr>
      </w:pPr>
      <w:r w:rsidRPr="00F608AF">
        <w:rPr>
          <w:b/>
          <w:bCs/>
        </w:rPr>
        <w:t>Punkt</w:t>
      </w:r>
      <w:r>
        <w:rPr>
          <w:b/>
          <w:bCs/>
        </w:rPr>
        <w:t>is</w:t>
      </w:r>
      <w:r w:rsidRPr="00F608AF">
        <w:rPr>
          <w:b/>
          <w:bCs/>
        </w:rPr>
        <w:t xml:space="preserve"> 7.2.</w:t>
      </w:r>
      <w:r>
        <w:rPr>
          <w:b/>
          <w:bCs/>
        </w:rPr>
        <w:t>1.</w:t>
      </w:r>
      <w:r w:rsidR="00552F7F">
        <w:rPr>
          <w:b/>
          <w:bCs/>
        </w:rPr>
        <w:t>5</w:t>
      </w:r>
      <w:r>
        <w:rPr>
          <w:b/>
          <w:bCs/>
        </w:rPr>
        <w:t xml:space="preserve"> </w:t>
      </w:r>
      <w:r>
        <w:rPr>
          <w:bCs/>
        </w:rPr>
        <w:t>sätestatakse topeltrahastamise vältimise eesmärgil selgemini, et TAT-i punkti 7.1.3.2 alusel kaudse kuluna hüvitatava kulu hüvitamine kuludokumentide alusel ehk otsese kuluna</w:t>
      </w:r>
      <w:r w:rsidR="00552F7F">
        <w:rPr>
          <w:bCs/>
        </w:rPr>
        <w:t xml:space="preserve"> </w:t>
      </w:r>
      <w:r w:rsidR="00F21DBA">
        <w:rPr>
          <w:bCs/>
        </w:rPr>
        <w:t xml:space="preserve">ei ole </w:t>
      </w:r>
      <w:r w:rsidR="00552F7F">
        <w:rPr>
          <w:bCs/>
        </w:rPr>
        <w:t>abikõlblik</w:t>
      </w:r>
      <w:r>
        <w:rPr>
          <w:bCs/>
        </w:rPr>
        <w:t xml:space="preserve">. </w:t>
      </w:r>
    </w:p>
    <w:p w14:paraId="55EF30A4" w14:textId="77777777" w:rsidR="00E03490" w:rsidRDefault="00E03490" w:rsidP="00E03490">
      <w:pPr>
        <w:spacing w:line="240" w:lineRule="auto"/>
        <w:rPr>
          <w:b/>
          <w:bCs/>
        </w:rPr>
      </w:pPr>
    </w:p>
    <w:p w14:paraId="55EF30A5" w14:textId="77777777" w:rsidR="00E03490" w:rsidRDefault="00E03490" w:rsidP="00E03490">
      <w:pPr>
        <w:spacing w:line="240" w:lineRule="auto"/>
        <w:rPr>
          <w:lang w:eastAsia="et-EE"/>
        </w:rPr>
      </w:pPr>
      <w:r w:rsidRPr="00B616C1">
        <w:rPr>
          <w:b/>
          <w:bCs/>
        </w:rPr>
        <w:t xml:space="preserve">Punkti 8.1 </w:t>
      </w:r>
      <w:r w:rsidRPr="00B616C1">
        <w:rPr>
          <w:bCs/>
        </w:rPr>
        <w:t>lisatakse viide</w:t>
      </w:r>
      <w:r>
        <w:rPr>
          <w:bCs/>
        </w:rPr>
        <w:t xml:space="preserve"> </w:t>
      </w:r>
      <w:r>
        <w:t xml:space="preserve">ühendmääruse </w:t>
      </w:r>
      <w:r>
        <w:rPr>
          <w:lang w:eastAsia="et-EE"/>
        </w:rPr>
        <w:t>§ 15 lõigetele 1 ja 4.</w:t>
      </w:r>
    </w:p>
    <w:p w14:paraId="55EF30A6" w14:textId="77777777" w:rsidR="00E03490" w:rsidRDefault="00E03490" w:rsidP="00E03490">
      <w:pPr>
        <w:spacing w:line="240" w:lineRule="auto"/>
        <w:rPr>
          <w:b/>
          <w:lang w:eastAsia="et-EE"/>
        </w:rPr>
      </w:pPr>
    </w:p>
    <w:p w14:paraId="55EF30A7" w14:textId="77777777" w:rsidR="00E03490" w:rsidRPr="00110FD4" w:rsidRDefault="00E03490" w:rsidP="00E03490">
      <w:pPr>
        <w:spacing w:line="240" w:lineRule="auto"/>
      </w:pPr>
      <w:r>
        <w:rPr>
          <w:b/>
          <w:lang w:eastAsia="et-EE"/>
        </w:rPr>
        <w:t>Punktis 8.2</w:t>
      </w:r>
      <w:r>
        <w:rPr>
          <w:lang w:eastAsia="et-EE"/>
        </w:rPr>
        <w:t xml:space="preserve"> täpsustatakse, et maksetaotlusi esitatakse </w:t>
      </w:r>
      <w:r w:rsidR="0069317C">
        <w:t>RÜ-le</w:t>
      </w:r>
      <w:r>
        <w:t xml:space="preserve"> eelkõige struktuuritoetuse registri kaudu. Registriväliselt võib maksetaotlusi RÜ-le esitada juhul, kui struktuuritoetuse register ei võimalda maksetaotluse esitamist. </w:t>
      </w:r>
    </w:p>
    <w:p w14:paraId="55EF30A8" w14:textId="77777777" w:rsidR="00E03490" w:rsidRDefault="00E03490" w:rsidP="00E03490">
      <w:pPr>
        <w:spacing w:line="240" w:lineRule="auto"/>
        <w:rPr>
          <w:b/>
        </w:rPr>
      </w:pPr>
    </w:p>
    <w:p w14:paraId="206047E9" w14:textId="0727CCAD" w:rsidR="009F2AD4" w:rsidRPr="009F2AD4" w:rsidRDefault="009F2AD4" w:rsidP="00E03490">
      <w:pPr>
        <w:spacing w:line="240" w:lineRule="auto"/>
        <w:rPr>
          <w:b/>
        </w:rPr>
      </w:pPr>
      <w:r w:rsidRPr="009F2AD4">
        <w:rPr>
          <w:b/>
        </w:rPr>
        <w:t>Punkt</w:t>
      </w:r>
      <w:r>
        <w:rPr>
          <w:b/>
        </w:rPr>
        <w:t xml:space="preserve"> 9 </w:t>
      </w:r>
      <w:r w:rsidRPr="009F2AD4">
        <w:t>sõnastatakse tervikuna uuesti.</w:t>
      </w:r>
    </w:p>
    <w:p w14:paraId="55EF30A9" w14:textId="339BDF8D" w:rsidR="00E03490" w:rsidRDefault="00E03490" w:rsidP="00E03490">
      <w:pPr>
        <w:spacing w:line="240" w:lineRule="auto"/>
      </w:pPr>
      <w:r w:rsidRPr="009F2AD4">
        <w:rPr>
          <w:u w:val="single"/>
        </w:rPr>
        <w:t>Punktis 9.1.1</w:t>
      </w:r>
      <w:r>
        <w:rPr>
          <w:b/>
        </w:rPr>
        <w:t xml:space="preserve"> </w:t>
      </w:r>
      <w:r w:rsidR="009F2AD4">
        <w:t>jäetakse välja</w:t>
      </w:r>
      <w:r>
        <w:t xml:space="preserve"> viited TAT-i lisadele 1 ja 2 ning sätestatakse, et elluviija esitab RA-le kinnitamiseks RA kinnitatud vormi kohase järgmise eelarveaasta tegevuskava ja sellele vastava eelarve kulukohtade lõikes ning vabas vormis eelarve seletuskirja. Muudatus tuleneb elluviimise käigus kujunenud RA vajadusest täpsustada ja täiendada vorme paindlikumalt ja ressursitõhusamalt, kui STS-i §-st 13 tulenev TAT-i kooskõlastamise menetlus seda võimaldab, et RA-l ning RÜ-l oleks võimalik saada vajadustele vastavat informatsiooni </w:t>
      </w:r>
      <w:r>
        <w:lastRenderedPageBreak/>
        <w:t xml:space="preserve">toetatavate tegevuste elluviimise käigu ja finantsprogressi kohta. </w:t>
      </w:r>
    </w:p>
    <w:p w14:paraId="1FFD44A5" w14:textId="77777777" w:rsidR="00ED3EDB" w:rsidRDefault="00ED3EDB" w:rsidP="00E03490">
      <w:pPr>
        <w:spacing w:line="240" w:lineRule="auto"/>
      </w:pPr>
    </w:p>
    <w:p w14:paraId="55EF30AA" w14:textId="71A79684" w:rsidR="00E03490" w:rsidRDefault="00E03490" w:rsidP="00E03490">
      <w:pPr>
        <w:spacing w:line="240" w:lineRule="auto"/>
      </w:pPr>
      <w:r>
        <w:t xml:space="preserve">Punkti 9.1.1 täiendatakse alapunktiga </w:t>
      </w:r>
      <w:r w:rsidRPr="00DF6B0A">
        <w:rPr>
          <w:b/>
        </w:rPr>
        <w:t>9.1.1.1</w:t>
      </w:r>
      <w:r>
        <w:t xml:space="preserve">, milles sätestatakse kehtiv praktika, et RA-le esitatud dokumendid kinnitatakse RA juhi käskkirjaga. Samuti täiendatakse punkti 9.1.1 alapunktiga </w:t>
      </w:r>
      <w:r w:rsidRPr="00DF6B0A">
        <w:rPr>
          <w:b/>
        </w:rPr>
        <w:t>9.1.1.2</w:t>
      </w:r>
      <w:r>
        <w:t>, milles sätestatakse, millised iga-aastase eelarve muudatused ei eelda RA juhi käskkirja muutmist</w:t>
      </w:r>
      <w:r w:rsidR="009F2AD4">
        <w:t xml:space="preserve"> ning alapunktiga </w:t>
      </w:r>
      <w:r w:rsidR="009F2AD4" w:rsidRPr="00001FB8">
        <w:rPr>
          <w:b/>
        </w:rPr>
        <w:t>9.1.1.3</w:t>
      </w:r>
      <w:r w:rsidR="009F2AD4">
        <w:t>, mis sätestab 9.1.1.2 kohaselt muudetud tegevuskava teadmiseks edastamise tähtaja.</w:t>
      </w:r>
      <w:r>
        <w:t xml:space="preserve"> </w:t>
      </w:r>
    </w:p>
    <w:p w14:paraId="523F1FC5" w14:textId="77777777" w:rsidR="00ED3EDB" w:rsidRDefault="00ED3EDB" w:rsidP="006B32D9">
      <w:pPr>
        <w:shd w:val="clear" w:color="auto" w:fill="FFFFFF"/>
        <w:spacing w:line="240" w:lineRule="auto"/>
      </w:pPr>
    </w:p>
    <w:p w14:paraId="4F9591CC" w14:textId="77777777" w:rsidR="00001FB8" w:rsidRDefault="009F2AD4" w:rsidP="006B32D9">
      <w:pPr>
        <w:shd w:val="clear" w:color="auto" w:fill="FFFFFF"/>
        <w:spacing w:line="240" w:lineRule="auto"/>
        <w:rPr>
          <w:lang w:eastAsia="et-EE"/>
        </w:rPr>
      </w:pPr>
      <w:r>
        <w:t>Lisatakse</w:t>
      </w:r>
      <w:r w:rsidR="00E03490" w:rsidRPr="00E4152E">
        <w:t xml:space="preserve"> </w:t>
      </w:r>
      <w:r w:rsidR="00E03490" w:rsidRPr="006B32D9">
        <w:rPr>
          <w:b/>
        </w:rPr>
        <w:t xml:space="preserve">punkt </w:t>
      </w:r>
      <w:r w:rsidR="00E03490" w:rsidRPr="00E4152E">
        <w:rPr>
          <w:b/>
        </w:rPr>
        <w:t>9.1.2</w:t>
      </w:r>
      <w:r w:rsidRPr="009F2AD4">
        <w:t>, milles</w:t>
      </w:r>
      <w:r w:rsidR="00E03490" w:rsidRPr="00E4152E">
        <w:rPr>
          <w:b/>
        </w:rPr>
        <w:t xml:space="preserve"> </w:t>
      </w:r>
      <w:r w:rsidR="00E03490" w:rsidRPr="00E4152E">
        <w:rPr>
          <w:lang w:eastAsia="et-EE"/>
        </w:rPr>
        <w:t>sätestatakse, et elluviijal on kohustus esitada RA-le ja RÜ-le teadmiseks eelneva aasta korrigeeritud eelarve ühe kalendrikuu jooksul alates vastava aasta viimase maksetaotluse väljamaksmisele saatmisest RÜ poolt. Elluviija korrigeerib eelarve tegelike abikõlblike kulutuste summa põhjal ja esitab selle RA-le ja RÜ-le teadmiseks, et neil oleks ülevaade vastava aasta eelarve lõppseisust ja sellest tulenevast aastaeelarve võimalikust ülejäägist, mida saab kasutada järgneva</w:t>
      </w:r>
      <w:r w:rsidR="00E03490">
        <w:rPr>
          <w:lang w:eastAsia="et-EE"/>
        </w:rPr>
        <w:t>te</w:t>
      </w:r>
      <w:r w:rsidR="00E03490" w:rsidRPr="00E4152E">
        <w:rPr>
          <w:lang w:eastAsia="et-EE"/>
        </w:rPr>
        <w:t>l aasta</w:t>
      </w:r>
      <w:r w:rsidR="00E03490">
        <w:rPr>
          <w:lang w:eastAsia="et-EE"/>
        </w:rPr>
        <w:t>te</w:t>
      </w:r>
      <w:r w:rsidR="00E03490" w:rsidRPr="00E4152E">
        <w:rPr>
          <w:lang w:eastAsia="et-EE"/>
        </w:rPr>
        <w:t>l.</w:t>
      </w:r>
      <w:r w:rsidR="00E03490">
        <w:rPr>
          <w:lang w:eastAsia="et-EE"/>
        </w:rPr>
        <w:t xml:space="preserve"> </w:t>
      </w:r>
    </w:p>
    <w:p w14:paraId="5AB29A63" w14:textId="77777777" w:rsidR="00ED3EDB" w:rsidRDefault="00ED3EDB" w:rsidP="006B32D9">
      <w:pPr>
        <w:shd w:val="clear" w:color="auto" w:fill="FFFFFF"/>
        <w:spacing w:line="240" w:lineRule="auto"/>
        <w:rPr>
          <w:lang w:eastAsia="et-EE"/>
        </w:rPr>
      </w:pPr>
    </w:p>
    <w:p w14:paraId="55EF30AB" w14:textId="3807173A" w:rsidR="00E03490" w:rsidRDefault="009F2AD4" w:rsidP="006B32D9">
      <w:pPr>
        <w:shd w:val="clear" w:color="auto" w:fill="FFFFFF"/>
        <w:spacing w:line="240" w:lineRule="auto"/>
      </w:pPr>
      <w:r>
        <w:rPr>
          <w:lang w:eastAsia="et-EE"/>
        </w:rPr>
        <w:t xml:space="preserve">Alates senisest 9.1.2 ülejäänud punktide numbrid suurenevad ühe võrra. </w:t>
      </w:r>
    </w:p>
    <w:p w14:paraId="55EF30AC" w14:textId="77777777" w:rsidR="00E03490" w:rsidRDefault="00E03490" w:rsidP="006B32D9">
      <w:pPr>
        <w:spacing w:line="240" w:lineRule="auto"/>
        <w:rPr>
          <w:b/>
        </w:rPr>
      </w:pPr>
    </w:p>
    <w:p w14:paraId="55EF30AD" w14:textId="023A979D" w:rsidR="00F71225" w:rsidRDefault="00E03490" w:rsidP="006B32D9">
      <w:pPr>
        <w:spacing w:line="240" w:lineRule="auto"/>
      </w:pPr>
      <w:r w:rsidRPr="006B32D9">
        <w:rPr>
          <w:b/>
        </w:rPr>
        <w:t>Punkti</w:t>
      </w:r>
      <w:r w:rsidR="00552F7F" w:rsidRPr="006B32D9">
        <w:rPr>
          <w:b/>
        </w:rPr>
        <w:t>s</w:t>
      </w:r>
      <w:r w:rsidRPr="006B32D9">
        <w:t xml:space="preserve"> </w:t>
      </w:r>
      <w:r w:rsidRPr="006B32D9">
        <w:rPr>
          <w:b/>
        </w:rPr>
        <w:t xml:space="preserve">9.1.11 </w:t>
      </w:r>
      <w:r w:rsidR="009F2AD4">
        <w:t xml:space="preserve">(praeguse numbriga 9.1.10) </w:t>
      </w:r>
      <w:r w:rsidR="00552F7F" w:rsidRPr="006B32D9">
        <w:t>täpsustatakse</w:t>
      </w:r>
      <w:r w:rsidRPr="006B32D9">
        <w:t>, et</w:t>
      </w:r>
      <w:r>
        <w:t xml:space="preserve"> </w:t>
      </w:r>
      <w:r w:rsidR="00EF73E1">
        <w:t xml:space="preserve">tegevuse 2.3 raames peab </w:t>
      </w:r>
      <w:r w:rsidRPr="00EF73E1">
        <w:t>elluviija koguma</w:t>
      </w:r>
      <w:r w:rsidR="00EF73E1">
        <w:t xml:space="preserve"> </w:t>
      </w:r>
      <w:r w:rsidR="00FD7131">
        <w:t>andmeid koolitust saavate spetsialistide</w:t>
      </w:r>
      <w:r w:rsidR="000210A6">
        <w:t xml:space="preserve">, </w:t>
      </w:r>
      <w:r w:rsidR="000210A6" w:rsidRPr="002E40E4">
        <w:t>sealhulgas tugiisikute</w:t>
      </w:r>
      <w:r w:rsidR="000210A6">
        <w:t>, kohta</w:t>
      </w:r>
      <w:r w:rsidR="00F71225">
        <w:t xml:space="preserve"> olenevalt neile korraldatud tegevuse mahust</w:t>
      </w:r>
      <w:r w:rsidR="000210A6">
        <w:t xml:space="preserve">. </w:t>
      </w:r>
      <w:r w:rsidR="00F71225">
        <w:t>Seni</w:t>
      </w:r>
      <w:r w:rsidR="000210A6">
        <w:t xml:space="preserve"> oli</w:t>
      </w:r>
      <w:r w:rsidR="00F71225">
        <w:t xml:space="preserve"> TAT-is</w:t>
      </w:r>
      <w:r w:rsidR="000210A6">
        <w:t xml:space="preserve"> sätestatud, et andmeid kogutakse toetatava tegevuse 2.3 sihtrühma kohta, millesse kuuluvad ka lähisuhtevägivalla all kannatavad isikud.</w:t>
      </w:r>
      <w:r w:rsidR="004B77FB">
        <w:t xml:space="preserve"> </w:t>
      </w:r>
    </w:p>
    <w:p w14:paraId="10D9AF4B" w14:textId="77777777" w:rsidR="00ED3EDB" w:rsidRDefault="00ED3EDB" w:rsidP="006B32D9">
      <w:pPr>
        <w:shd w:val="clear" w:color="auto" w:fill="FFFFFF"/>
        <w:spacing w:line="240" w:lineRule="auto"/>
      </w:pPr>
    </w:p>
    <w:p w14:paraId="55EF30AE" w14:textId="77777777" w:rsidR="00E03490" w:rsidRDefault="000210A6" w:rsidP="006B32D9">
      <w:pPr>
        <w:shd w:val="clear" w:color="auto" w:fill="FFFFFF"/>
        <w:spacing w:line="240" w:lineRule="auto"/>
      </w:pPr>
      <w:r w:rsidRPr="00F71225">
        <w:t xml:space="preserve">Kuna toetatava tegevuse 2.3 eesmärgiks on võimaldada </w:t>
      </w:r>
      <w:r w:rsidRPr="004B77FB">
        <w:t>kohaliku tasandi valdkondlikel spetsialistidel</w:t>
      </w:r>
      <w:r w:rsidRPr="00F71225">
        <w:t xml:space="preserve"> omandada paremaid oskusi, töövahendeid ja </w:t>
      </w:r>
      <w:r w:rsidR="00F21DBA">
        <w:t>-</w:t>
      </w:r>
      <w:r w:rsidRPr="00F71225">
        <w:t>meetodeid ja juurutada võrgustikutöö põhimõtteid, et edendada riskis olevate noorte ja perede probleemide kindlakstegemist ja lahendamist, on tegemist süsteemi arendamisega</w:t>
      </w:r>
      <w:r w:rsidR="00A01757">
        <w:t xml:space="preserve"> </w:t>
      </w:r>
      <w:r w:rsidR="00A01757" w:rsidRPr="00F71225">
        <w:t>(</w:t>
      </w:r>
      <w:r w:rsidR="00A01757" w:rsidRPr="00F71225">
        <w:rPr>
          <w:i/>
        </w:rPr>
        <w:t>capacity building operations focusing on individuals</w:t>
      </w:r>
      <w:r w:rsidR="00A01757" w:rsidRPr="00F71225">
        <w:rPr>
          <w:rStyle w:val="FootnoteReference"/>
        </w:rPr>
        <w:footnoteReference w:id="1"/>
      </w:r>
      <w:r w:rsidR="00A01757" w:rsidRPr="00F71225">
        <w:t>)</w:t>
      </w:r>
      <w:r w:rsidR="00F71225">
        <w:t xml:space="preserve"> ja andmeid tuleb koguda </w:t>
      </w:r>
      <w:r w:rsidR="006B32D9">
        <w:t xml:space="preserve"> spetsialistide ja tugiisikute kohta</w:t>
      </w:r>
      <w:r w:rsidR="003E5F0F" w:rsidRPr="00F71225">
        <w:t>. S</w:t>
      </w:r>
      <w:r w:rsidRPr="00F71225">
        <w:t xml:space="preserve">petsialistid ja tugiisikud on tegevuses osalejad, kellele </w:t>
      </w:r>
      <w:r w:rsidR="009E78E0">
        <w:t xml:space="preserve">oskuste arendamisele on </w:t>
      </w:r>
      <w:r w:rsidRPr="00F71225">
        <w:t>koolitused</w:t>
      </w:r>
      <w:r w:rsidR="009E78E0">
        <w:t xml:space="preserve"> otseselt suunatud</w:t>
      </w:r>
      <w:r w:rsidR="003E5F0F" w:rsidRPr="00F71225">
        <w:t xml:space="preserve">. </w:t>
      </w:r>
      <w:r w:rsidR="004B77FB">
        <w:t>L</w:t>
      </w:r>
      <w:r w:rsidR="003E5F0F" w:rsidRPr="00F71225">
        <w:t>ähisuhtevägivalla all kannatavad isikud aga jäävad andmekorje ulatusest välja, kuna nende puhul on tegemist parendatud teenus</w:t>
      </w:r>
      <w:r w:rsidR="004B77FB">
        <w:t>est kasusaajatega</w:t>
      </w:r>
      <w:r w:rsidR="003E5F0F" w:rsidRPr="00F71225">
        <w:t xml:space="preserve"> (MARAC-mud</w:t>
      </w:r>
      <w:r w:rsidR="009E78E0">
        <w:t>elil põhinev juhtumikorraldus kui teenus</w:t>
      </w:r>
      <w:r w:rsidR="003E5F0F" w:rsidRPr="00F71225">
        <w:t>)</w:t>
      </w:r>
      <w:r w:rsidR="004B77FB">
        <w:t xml:space="preserve"> ning toetatava tegevuse kulud ei ole otseses seoses juhtumite arvuga, millega tegeletak</w:t>
      </w:r>
      <w:r w:rsidR="009E78E0">
        <w:t>se, kuna j</w:t>
      </w:r>
      <w:r w:rsidR="004B77FB">
        <w:t>uhtumikorralduse mudeli abil suunatakse lähisuhtevägivalla ohvrid teenustele, mis on juba olemas</w:t>
      </w:r>
      <w:r w:rsidR="003E5F0F" w:rsidRPr="00F71225">
        <w:t>.</w:t>
      </w:r>
    </w:p>
    <w:p w14:paraId="55EF30AF" w14:textId="77777777" w:rsidR="006B32D9" w:rsidRDefault="006B32D9" w:rsidP="00E03490">
      <w:pPr>
        <w:spacing w:line="240" w:lineRule="auto"/>
        <w:rPr>
          <w:b/>
        </w:rPr>
      </w:pPr>
    </w:p>
    <w:p w14:paraId="55EF30B0" w14:textId="77777777" w:rsidR="00E03490" w:rsidRPr="004A7AC1" w:rsidRDefault="00E03490" w:rsidP="00E03490">
      <w:pPr>
        <w:spacing w:line="240" w:lineRule="auto"/>
      </w:pPr>
      <w:r>
        <w:rPr>
          <w:b/>
        </w:rPr>
        <w:t xml:space="preserve">Punktides 11.2 </w:t>
      </w:r>
      <w:r w:rsidRPr="004A7AC1">
        <w:t>ja</w:t>
      </w:r>
      <w:r>
        <w:rPr>
          <w:b/>
        </w:rPr>
        <w:t xml:space="preserve"> 11.3 </w:t>
      </w:r>
      <w:r>
        <w:t xml:space="preserve">täpsustatakse, et seirearuandeid </w:t>
      </w:r>
      <w:r>
        <w:rPr>
          <w:lang w:eastAsia="et-EE"/>
        </w:rPr>
        <w:t xml:space="preserve">esitatakse </w:t>
      </w:r>
      <w:r>
        <w:t>RÜ-le eelkõige struktuuritoetuse registri kaudu. Registriväliselt võib seirearuandeid RÜ-le esitada juhul, kui struktuuritoetuse register ei võimalda aruande esitamist.</w:t>
      </w:r>
    </w:p>
    <w:p w14:paraId="55EF30B1" w14:textId="77777777" w:rsidR="00E03490" w:rsidRDefault="00E03490" w:rsidP="00E03490">
      <w:pPr>
        <w:spacing w:line="240" w:lineRule="auto"/>
        <w:rPr>
          <w:b/>
        </w:rPr>
      </w:pPr>
    </w:p>
    <w:p w14:paraId="55EF30B2" w14:textId="77777777" w:rsidR="00E03490" w:rsidRPr="004D695C" w:rsidRDefault="00E03490" w:rsidP="00E03490">
      <w:pPr>
        <w:spacing w:line="240" w:lineRule="auto"/>
      </w:pPr>
      <w:r>
        <w:rPr>
          <w:b/>
        </w:rPr>
        <w:t>Punktis 12.</w:t>
      </w:r>
      <w:r w:rsidR="00552F7F">
        <w:rPr>
          <w:b/>
        </w:rPr>
        <w:t>4</w:t>
      </w:r>
      <w:r>
        <w:rPr>
          <w:b/>
        </w:rPr>
        <w:t xml:space="preserve"> </w:t>
      </w:r>
      <w:r w:rsidR="00552F7F">
        <w:t>täpsustatakse</w:t>
      </w:r>
      <w:r>
        <w:t xml:space="preserve">, et RA </w:t>
      </w:r>
      <w:r w:rsidR="00552F7F">
        <w:t>otsustab</w:t>
      </w:r>
      <w:r>
        <w:t xml:space="preserve"> TAT-i muutmise </w:t>
      </w:r>
      <w:r w:rsidRPr="00552F7F">
        <w:rPr>
          <w:u w:val="single"/>
        </w:rPr>
        <w:t>algatamise</w:t>
      </w:r>
      <w:r>
        <w:t xml:space="preserve"> peale seda, kui RÜ </w:t>
      </w:r>
      <w:r w:rsidR="00552F7F">
        <w:t xml:space="preserve">ja korraldusasutus </w:t>
      </w:r>
      <w:r>
        <w:t xml:space="preserve">on saanud esitada oma ettepanekud elluviija taotletavatele muudatustele. </w:t>
      </w:r>
    </w:p>
    <w:p w14:paraId="55EF30B3" w14:textId="77777777" w:rsidR="00E03490" w:rsidRDefault="00E03490" w:rsidP="00E03490">
      <w:pPr>
        <w:spacing w:line="240" w:lineRule="auto"/>
        <w:rPr>
          <w:b/>
        </w:rPr>
      </w:pPr>
    </w:p>
    <w:p w14:paraId="55EF30B4" w14:textId="77777777" w:rsidR="00E03490" w:rsidRDefault="00E03490" w:rsidP="00E03490">
      <w:pPr>
        <w:spacing w:line="240" w:lineRule="auto"/>
      </w:pPr>
      <w:r>
        <w:rPr>
          <w:b/>
        </w:rPr>
        <w:t>Punktis 12.</w:t>
      </w:r>
      <w:r w:rsidR="00552F7F">
        <w:rPr>
          <w:b/>
        </w:rPr>
        <w:t>7</w:t>
      </w:r>
      <w:r>
        <w:rPr>
          <w:b/>
        </w:rPr>
        <w:t xml:space="preserve"> </w:t>
      </w:r>
      <w:r w:rsidR="00552F7F">
        <w:t>täpsustatakse</w:t>
      </w:r>
      <w:r>
        <w:t xml:space="preserve">, et RA </w:t>
      </w:r>
      <w:r w:rsidR="00552F7F">
        <w:t>teeb otsuse</w:t>
      </w:r>
      <w:r>
        <w:t xml:space="preserve"> TAT-i muutmise </w:t>
      </w:r>
      <w:r w:rsidRPr="00552F7F">
        <w:rPr>
          <w:u w:val="single"/>
        </w:rPr>
        <w:t>algatamise</w:t>
      </w:r>
      <w:r>
        <w:t xml:space="preserve"> kohta. </w:t>
      </w:r>
    </w:p>
    <w:p w14:paraId="55EF30B5" w14:textId="77777777" w:rsidR="00E03490" w:rsidRDefault="00E03490" w:rsidP="00E03490">
      <w:pPr>
        <w:spacing w:line="240" w:lineRule="auto"/>
        <w:rPr>
          <w:b/>
        </w:rPr>
      </w:pPr>
    </w:p>
    <w:p w14:paraId="55EF30B6" w14:textId="77777777" w:rsidR="00E03490" w:rsidRPr="00996C17" w:rsidRDefault="00E03490" w:rsidP="00E03490">
      <w:pPr>
        <w:spacing w:line="240" w:lineRule="auto"/>
      </w:pPr>
      <w:r>
        <w:rPr>
          <w:b/>
        </w:rPr>
        <w:t>Punktis 12.9</w:t>
      </w:r>
      <w:r>
        <w:t xml:space="preserve"> sätestatakse, et TAT-i muutmiseks ei loeta punktis 9.1.1 </w:t>
      </w:r>
      <w:r w:rsidRPr="00996C17">
        <w:t>nimetatud järgmise eelarveaasta tegevuskava, eelarve ja eelarve seletuskirja kinnitamist ja muutmist</w:t>
      </w:r>
      <w:r>
        <w:t>. Seda juhul, kui tegevuskavas kavandatud tegevused ja nende eelarve on kooskõlas TAT-is sätestatuga</w:t>
      </w:r>
      <w:r w:rsidRPr="00996C17">
        <w:t>.</w:t>
      </w:r>
      <w:r w:rsidR="00097B1E">
        <w:t xml:space="preserve"> Seoses punkti 12.9 muutmisega tunnistatakse kehtetuks punkt 12.10.</w:t>
      </w:r>
      <w:r w:rsidRPr="00996C17">
        <w:t xml:space="preserve"> </w:t>
      </w:r>
    </w:p>
    <w:p w14:paraId="55EF30B7" w14:textId="77777777" w:rsidR="00E03490" w:rsidRDefault="00E03490" w:rsidP="00E03490">
      <w:pPr>
        <w:spacing w:line="240" w:lineRule="auto"/>
        <w:rPr>
          <w:b/>
        </w:rPr>
      </w:pPr>
    </w:p>
    <w:p w14:paraId="55EF30B8" w14:textId="77777777" w:rsidR="00E03490" w:rsidRDefault="00E03490" w:rsidP="00E03490">
      <w:pPr>
        <w:spacing w:line="240" w:lineRule="auto"/>
      </w:pPr>
      <w:r>
        <w:rPr>
          <w:b/>
        </w:rPr>
        <w:t>Lisade loetelu</w:t>
      </w:r>
      <w:r w:rsidR="00E43E6C">
        <w:rPr>
          <w:b/>
        </w:rPr>
        <w:t>s</w:t>
      </w:r>
      <w:r>
        <w:t xml:space="preserve"> </w:t>
      </w:r>
      <w:r w:rsidRPr="00E43E6C">
        <w:t>tunnistatakse kehtetuks</w:t>
      </w:r>
      <w:r w:rsidR="00E43E6C" w:rsidRPr="00E43E6C">
        <w:t xml:space="preserve"> lisad 1</w:t>
      </w:r>
      <w:r w:rsidR="00F21DBA">
        <w:t>−</w:t>
      </w:r>
      <w:r w:rsidR="00E43E6C" w:rsidRPr="00E43E6C">
        <w:t>4, kuna need</w:t>
      </w:r>
      <w:r w:rsidRPr="00E43E6C">
        <w:t xml:space="preserve"> kinnitatakse RA juhi eraldiseisva käskkirjaga</w:t>
      </w:r>
      <w:r>
        <w:t xml:space="preserve">. See on vajalik selleks, et </w:t>
      </w:r>
      <w:r w:rsidR="00E43E6C">
        <w:t xml:space="preserve">nendes </w:t>
      </w:r>
      <w:r>
        <w:t xml:space="preserve">lisades olevaid vorme </w:t>
      </w:r>
      <w:r w:rsidR="00F21DBA">
        <w:t>saaks</w:t>
      </w:r>
      <w:r>
        <w:t xml:space="preserve"> rakendamise käigus kerkivatest vajadustest lähtuvalt ajakohastada aja- ja ressursitõhusamalt, kui TAT-i lisaks olemine võimaldab. </w:t>
      </w:r>
    </w:p>
    <w:p w14:paraId="55EF30BA" w14:textId="77777777" w:rsidR="00E03490" w:rsidRDefault="00E03490" w:rsidP="00E03490">
      <w:pPr>
        <w:spacing w:line="240" w:lineRule="auto"/>
      </w:pPr>
    </w:p>
    <w:p w14:paraId="55EF30BB" w14:textId="77777777" w:rsidR="00E03490" w:rsidRPr="002C36FC" w:rsidRDefault="00E03490" w:rsidP="00E03490">
      <w:pPr>
        <w:pStyle w:val="ListParagraph"/>
        <w:numPr>
          <w:ilvl w:val="0"/>
          <w:numId w:val="1"/>
        </w:num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Eelnõu terminoloogia</w:t>
      </w:r>
    </w:p>
    <w:p w14:paraId="55EF30BC" w14:textId="77777777" w:rsidR="00E03490" w:rsidRDefault="00E03490" w:rsidP="00E03490">
      <w:pPr>
        <w:spacing w:line="240" w:lineRule="auto"/>
      </w:pPr>
      <w:r>
        <w:t xml:space="preserve">Käskkirjaga uusi termineid kasutusele ei võeta. </w:t>
      </w:r>
    </w:p>
    <w:p w14:paraId="55EF30BD" w14:textId="77777777" w:rsidR="00E03490" w:rsidRDefault="00E03490" w:rsidP="00E03490">
      <w:pPr>
        <w:spacing w:line="240" w:lineRule="auto"/>
      </w:pPr>
    </w:p>
    <w:p w14:paraId="55EF30BE" w14:textId="77777777" w:rsidR="00E03490" w:rsidRPr="002C36FC" w:rsidRDefault="00E03490" w:rsidP="00E03490">
      <w:pPr>
        <w:pStyle w:val="ListParagraph"/>
        <w:numPr>
          <w:ilvl w:val="0"/>
          <w:numId w:val="1"/>
        </w:num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Eelnõu vastavus Euroopa Liidu õigusele</w:t>
      </w:r>
    </w:p>
    <w:p w14:paraId="55EF30BF" w14:textId="77777777" w:rsidR="00E03490" w:rsidRDefault="00E03490" w:rsidP="00E03490">
      <w:pPr>
        <w:spacing w:line="240" w:lineRule="auto"/>
      </w:pPr>
      <w:r>
        <w:t xml:space="preserve">Eelnõu vastab järgmistele </w:t>
      </w:r>
      <w:r w:rsidR="00E81AA3">
        <w:t>Euroopa Liidu</w:t>
      </w:r>
      <w:r>
        <w:t xml:space="preserve"> määrustele:</w:t>
      </w:r>
    </w:p>
    <w:p w14:paraId="55EF30C0" w14:textId="77777777" w:rsidR="00E03490" w:rsidRPr="001764E8" w:rsidRDefault="00E03490" w:rsidP="00E03490">
      <w:pPr>
        <w:pStyle w:val="ListParagraph"/>
        <w:numPr>
          <w:ilvl w:val="0"/>
          <w:numId w:val="2"/>
        </w:numPr>
        <w:spacing w:line="240" w:lineRule="auto"/>
        <w:jc w:val="both"/>
        <w:rPr>
          <w:rFonts w:ascii="Times New Roman" w:hAnsi="Times New Roman"/>
          <w:snapToGrid w:val="0"/>
          <w:sz w:val="24"/>
          <w:szCs w:val="24"/>
        </w:rPr>
      </w:pPr>
      <w:r w:rsidRPr="001764E8">
        <w:rPr>
          <w:rFonts w:ascii="Times New Roman" w:hAnsi="Times New Roman"/>
          <w:sz w:val="24"/>
          <w:szCs w:val="24"/>
        </w:rPr>
        <w:t>Euroopa Parlamendi ja nõukogu määrus (EL) nr 1303/2013, millega kehtestatakse ühissätted ühisesse strateegilisse raamistikku kuuluvate fondide – Euroopa Regionaalarengu Fondi, Euroopa Sotsiaalfondi, Ühtekuuluvusfondi, Maaelu Arengu Euroopa Põllumajandusfondi ja Euroopa Merendus- ja Kalandusfondi – kohta, nähakse ette üldsätted Euroopa Regionaalarengu Fondi, Euroopa Sotsiaalfondi ja Ühtekuuluvusfondi kohta ning tunnistatakse kehtetuks määrus (EÜ) nr 1083/2006;</w:t>
      </w:r>
    </w:p>
    <w:p w14:paraId="55EF30C1" w14:textId="77777777" w:rsidR="00E03490" w:rsidRDefault="00E03490" w:rsidP="00E03490">
      <w:pPr>
        <w:pStyle w:val="ListParagraph"/>
        <w:numPr>
          <w:ilvl w:val="0"/>
          <w:numId w:val="2"/>
        </w:numPr>
        <w:spacing w:after="0" w:line="240" w:lineRule="auto"/>
        <w:jc w:val="both"/>
        <w:rPr>
          <w:rFonts w:ascii="Times New Roman" w:hAnsi="Times New Roman"/>
          <w:snapToGrid w:val="0"/>
          <w:sz w:val="24"/>
          <w:szCs w:val="24"/>
        </w:rPr>
      </w:pPr>
      <w:r w:rsidRPr="001764E8">
        <w:rPr>
          <w:rFonts w:ascii="Times New Roman" w:hAnsi="Times New Roman"/>
          <w:sz w:val="24"/>
          <w:szCs w:val="24"/>
        </w:rPr>
        <w:t>Euroopa Parlamendi ja nõukogu määrus (EL) nr 1304/2013</w:t>
      </w:r>
      <w:r w:rsidRPr="001764E8">
        <w:rPr>
          <w:rFonts w:ascii="Times New Roman" w:hAnsi="Times New Roman"/>
          <w:snapToGrid w:val="0"/>
          <w:sz w:val="24"/>
          <w:szCs w:val="24"/>
        </w:rPr>
        <w:t>, mis käsitleb Euroopa Sotsiaalfondi ja millega tunnistatakse kehtetuks määrus (EÜ)</w:t>
      </w:r>
      <w:r w:rsidRPr="001764E8">
        <w:rPr>
          <w:rFonts w:ascii="Times New Roman" w:hAnsi="Times New Roman"/>
          <w:sz w:val="24"/>
          <w:szCs w:val="24"/>
        </w:rPr>
        <w:t> </w:t>
      </w:r>
      <w:r w:rsidRPr="001764E8">
        <w:rPr>
          <w:rFonts w:ascii="Times New Roman" w:hAnsi="Times New Roman"/>
          <w:snapToGrid w:val="0"/>
          <w:sz w:val="24"/>
          <w:szCs w:val="24"/>
        </w:rPr>
        <w:t>nr</w:t>
      </w:r>
      <w:r w:rsidRPr="001764E8">
        <w:rPr>
          <w:rFonts w:ascii="Times New Roman" w:hAnsi="Times New Roman"/>
          <w:sz w:val="24"/>
          <w:szCs w:val="24"/>
        </w:rPr>
        <w:t> </w:t>
      </w:r>
      <w:r w:rsidRPr="001764E8">
        <w:rPr>
          <w:rFonts w:ascii="Times New Roman" w:hAnsi="Times New Roman"/>
          <w:snapToGrid w:val="0"/>
          <w:sz w:val="24"/>
          <w:szCs w:val="24"/>
        </w:rPr>
        <w:t>1081/2006</w:t>
      </w:r>
      <w:r w:rsidR="00493EE8">
        <w:rPr>
          <w:rFonts w:ascii="Times New Roman" w:hAnsi="Times New Roman"/>
          <w:snapToGrid w:val="0"/>
          <w:sz w:val="24"/>
          <w:szCs w:val="24"/>
        </w:rPr>
        <w:t>.</w:t>
      </w:r>
    </w:p>
    <w:p w14:paraId="55EF30C2" w14:textId="77777777" w:rsidR="00E03490" w:rsidRPr="00C622BD" w:rsidRDefault="00E03490" w:rsidP="00E03490">
      <w:pPr>
        <w:pStyle w:val="ListParagraph"/>
        <w:spacing w:after="0" w:line="240" w:lineRule="auto"/>
        <w:jc w:val="both"/>
        <w:rPr>
          <w:rFonts w:ascii="Times New Roman" w:hAnsi="Times New Roman"/>
          <w:snapToGrid w:val="0"/>
          <w:sz w:val="24"/>
          <w:szCs w:val="24"/>
        </w:rPr>
      </w:pPr>
    </w:p>
    <w:p w14:paraId="55EF30C3" w14:textId="04805BD3" w:rsidR="00E03490" w:rsidRPr="002C36FC" w:rsidRDefault="009F2AD4" w:rsidP="00E03490">
      <w:pPr>
        <w:pStyle w:val="ListParagraph"/>
        <w:numPr>
          <w:ilvl w:val="0"/>
          <w:numId w:val="1"/>
        </w:num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Käskkirja</w:t>
      </w:r>
      <w:r w:rsidR="00E03490">
        <w:rPr>
          <w:rFonts w:ascii="Times New Roman" w:hAnsi="Times New Roman" w:cs="Times New Roman"/>
          <w:b/>
          <w:sz w:val="24"/>
          <w:szCs w:val="24"/>
        </w:rPr>
        <w:t xml:space="preserve"> mõjud</w:t>
      </w:r>
    </w:p>
    <w:p w14:paraId="55EF30C4" w14:textId="77777777" w:rsidR="00E03490" w:rsidRDefault="00E03490" w:rsidP="00E03490">
      <w:pPr>
        <w:spacing w:line="240" w:lineRule="auto"/>
      </w:pPr>
      <w:r w:rsidRPr="00E53D13">
        <w:t>Eelnõuga TAT-i tehtavad muudatused, täiendused ja täpsustused võim</w:t>
      </w:r>
      <w:r w:rsidR="009D4A83" w:rsidRPr="00E53D13">
        <w:t>aldavad elluviijal, partneritel ning</w:t>
      </w:r>
      <w:r w:rsidRPr="00E53D13">
        <w:t xml:space="preserve"> RÜ-l ja RA-l selgemini mõista ja seeläbi paremini täita oma ülesandeid. </w:t>
      </w:r>
      <w:r w:rsidR="009D4A83" w:rsidRPr="00E53D13">
        <w:t xml:space="preserve">PPA </w:t>
      </w:r>
      <w:r w:rsidR="00E53D13" w:rsidRPr="00E53D13">
        <w:t>nimetamine</w:t>
      </w:r>
      <w:r w:rsidR="009D4A83" w:rsidRPr="00E53D13">
        <w:t xml:space="preserve"> toetatava tegevuse 2.2 partneriks võimaldab aja- ja ressursitõhusamalt luua PPA vajadustele vastav a</w:t>
      </w:r>
      <w:r w:rsidR="00E53D13" w:rsidRPr="00E53D13">
        <w:t>ndme- ja teabevahetuslahendus</w:t>
      </w:r>
      <w:r w:rsidR="009D4A83" w:rsidRPr="00E53D13">
        <w:t xml:space="preserve">, kuna PPA </w:t>
      </w:r>
      <w:r w:rsidR="00E53D13" w:rsidRPr="00E53D13">
        <w:t>saab ise koostada</w:t>
      </w:r>
      <w:r w:rsidR="009D4A83" w:rsidRPr="00E53D13">
        <w:t xml:space="preserve"> kontseptsiooni</w:t>
      </w:r>
      <w:r w:rsidR="00E53D13" w:rsidRPr="00E53D13">
        <w:t xml:space="preserve"> ning tellida</w:t>
      </w:r>
      <w:r w:rsidR="009D4A83" w:rsidRPr="00E53D13">
        <w:t xml:space="preserve"> seejärel vajalikud arendustööd vastavate infosüsteemide omanikelt.</w:t>
      </w:r>
      <w:r w:rsidR="009D4A83">
        <w:t xml:space="preserve"> </w:t>
      </w:r>
    </w:p>
    <w:p w14:paraId="0A26963C" w14:textId="77777777" w:rsidR="00ED3EDB" w:rsidRDefault="00ED3EDB" w:rsidP="00E03490">
      <w:pPr>
        <w:spacing w:line="240" w:lineRule="auto"/>
      </w:pPr>
    </w:p>
    <w:p w14:paraId="4B4F6C11" w14:textId="67A0E242" w:rsidR="009F2AD4" w:rsidRDefault="009F2AD4" w:rsidP="00E03490">
      <w:pPr>
        <w:spacing w:line="240" w:lineRule="auto"/>
      </w:pPr>
      <w:r>
        <w:t xml:space="preserve">Praegu kehtiva TAT-i lisades 1−4 olevate vormide </w:t>
      </w:r>
      <w:r w:rsidR="00EB106C">
        <w:t>kehtestamine RA juhi eraldiseisva käskkirjaga vähendab halduskoormust, kuna vormide muutmiseks ei tule edaspidi algatada õigusakti muutmise kooskõlastamist eelnõude infosüsteemis.</w:t>
      </w:r>
    </w:p>
    <w:p w14:paraId="55EF30C5" w14:textId="77777777" w:rsidR="00E03490" w:rsidRDefault="00E03490" w:rsidP="00E03490">
      <w:pPr>
        <w:spacing w:line="240" w:lineRule="auto"/>
      </w:pPr>
    </w:p>
    <w:p w14:paraId="55EF30C6" w14:textId="151579B0" w:rsidR="00E03490" w:rsidRDefault="00EB106C" w:rsidP="00E03490">
      <w:pPr>
        <w:pStyle w:val="ListParagraph"/>
        <w:numPr>
          <w:ilvl w:val="0"/>
          <w:numId w:val="1"/>
        </w:num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Käskkirja</w:t>
      </w:r>
      <w:r w:rsidR="00E03490">
        <w:rPr>
          <w:rFonts w:ascii="Times New Roman" w:hAnsi="Times New Roman" w:cs="Times New Roman"/>
          <w:b/>
          <w:sz w:val="24"/>
          <w:szCs w:val="24"/>
        </w:rPr>
        <w:t xml:space="preserve"> rakendamiseks vajalikud kulutused ja eeldatavad tulud</w:t>
      </w:r>
    </w:p>
    <w:p w14:paraId="55EF30C7" w14:textId="77777777" w:rsidR="00E03490" w:rsidRDefault="00E03490" w:rsidP="00E03490">
      <w:pPr>
        <w:pStyle w:val="ListParagraph"/>
        <w:spacing w:line="240" w:lineRule="auto"/>
        <w:ind w:left="567"/>
        <w:jc w:val="both"/>
        <w:rPr>
          <w:rFonts w:ascii="Times New Roman" w:hAnsi="Times New Roman" w:cs="Times New Roman"/>
          <w:b/>
          <w:sz w:val="24"/>
          <w:szCs w:val="24"/>
        </w:rPr>
      </w:pPr>
    </w:p>
    <w:p w14:paraId="55EF30C8" w14:textId="77777777" w:rsidR="00E03490" w:rsidRDefault="00E03490" w:rsidP="00E0349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TAT-is sätestatud toetatavaid tegevusi rahastatakse </w:t>
      </w:r>
      <w:r w:rsidR="00E81AA3">
        <w:rPr>
          <w:rFonts w:ascii="Times New Roman" w:hAnsi="Times New Roman" w:cs="Times New Roman"/>
          <w:sz w:val="24"/>
          <w:szCs w:val="24"/>
        </w:rPr>
        <w:t>Euroopa Sots</w:t>
      </w:r>
      <w:r>
        <w:rPr>
          <w:rFonts w:ascii="Times New Roman" w:hAnsi="Times New Roman" w:cs="Times New Roman"/>
          <w:sz w:val="24"/>
          <w:szCs w:val="24"/>
        </w:rPr>
        <w:t>i</w:t>
      </w:r>
      <w:r w:rsidR="00E81AA3">
        <w:rPr>
          <w:rFonts w:ascii="Times New Roman" w:hAnsi="Times New Roman" w:cs="Times New Roman"/>
          <w:sz w:val="24"/>
          <w:szCs w:val="24"/>
        </w:rPr>
        <w:t>aalfondi</w:t>
      </w:r>
      <w:r>
        <w:rPr>
          <w:rFonts w:ascii="Times New Roman" w:hAnsi="Times New Roman" w:cs="Times New Roman"/>
          <w:sz w:val="24"/>
          <w:szCs w:val="24"/>
        </w:rPr>
        <w:t xml:space="preserve"> ja Eesti riigi vahenditest TAT-i abikõlblike kulude eelarve ulatuses, seega eelnõu rakendamisega ei kaasne täiendavaid kulusid.</w:t>
      </w:r>
    </w:p>
    <w:p w14:paraId="55EF30C9" w14:textId="77777777" w:rsidR="00E03490" w:rsidRDefault="00E03490" w:rsidP="00E03490">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5EF30CA" w14:textId="73C7A262" w:rsidR="00E03490" w:rsidRDefault="00EB106C" w:rsidP="00E03490">
      <w:pPr>
        <w:pStyle w:val="ListParagraph"/>
        <w:numPr>
          <w:ilvl w:val="0"/>
          <w:numId w:val="1"/>
        </w:num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Käskkirja</w:t>
      </w:r>
      <w:r w:rsidR="00E03490">
        <w:rPr>
          <w:rFonts w:ascii="Times New Roman" w:hAnsi="Times New Roman" w:cs="Times New Roman"/>
          <w:b/>
          <w:sz w:val="24"/>
          <w:szCs w:val="24"/>
        </w:rPr>
        <w:t xml:space="preserve"> jõustumine</w:t>
      </w:r>
    </w:p>
    <w:p w14:paraId="55EF30CB" w14:textId="483884F9" w:rsidR="00E03490" w:rsidRDefault="00EB106C" w:rsidP="00E03490">
      <w:r>
        <w:t>Käskkiri</w:t>
      </w:r>
      <w:r w:rsidR="00E03490">
        <w:t xml:space="preserve"> jõustub </w:t>
      </w:r>
      <w:r w:rsidR="00075545">
        <w:t>selle allkirjastamisel</w:t>
      </w:r>
      <w:r>
        <w:t>, kuid seda</w:t>
      </w:r>
      <w:r w:rsidR="00075545">
        <w:t xml:space="preserve"> rakendatakse tagasiulatuvalt alates 1. jaanuarist 2017.</w:t>
      </w:r>
      <w:r w:rsidR="00E03490">
        <w:t xml:space="preserve"> </w:t>
      </w:r>
    </w:p>
    <w:p w14:paraId="55EF30CC" w14:textId="77777777" w:rsidR="00E03490" w:rsidRDefault="00E03490" w:rsidP="00E03490"/>
    <w:p w14:paraId="55EF30CD" w14:textId="77777777" w:rsidR="00E03490" w:rsidRPr="006962A1" w:rsidRDefault="00E03490" w:rsidP="00E03490">
      <w:pPr>
        <w:pStyle w:val="ListParagraph"/>
        <w:numPr>
          <w:ilvl w:val="0"/>
          <w:numId w:val="1"/>
        </w:num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Eelnõu kooskõlastamine</w:t>
      </w:r>
    </w:p>
    <w:p w14:paraId="55EF30CE" w14:textId="0748B920" w:rsidR="008145F3" w:rsidRDefault="00E03490" w:rsidP="00E03490">
      <w:pPr>
        <w:spacing w:line="240" w:lineRule="auto"/>
      </w:pPr>
      <w:r w:rsidRPr="00890389">
        <w:t xml:space="preserve">Eelnõu </w:t>
      </w:r>
      <w:r w:rsidR="00A01757">
        <w:t>kooskõlastatakse</w:t>
      </w:r>
      <w:r w:rsidRPr="00890389">
        <w:t xml:space="preserve"> õigusaktide kooskõlastamise infosüsteemis korraldusasutusega, valdkondlikku komisjoni kuuluva </w:t>
      </w:r>
      <w:r>
        <w:t>RA-ga</w:t>
      </w:r>
      <w:r w:rsidRPr="00890389">
        <w:t xml:space="preserve"> </w:t>
      </w:r>
      <w:r>
        <w:t>ning</w:t>
      </w:r>
      <w:r w:rsidRPr="00890389">
        <w:t xml:space="preserve"> teiste </w:t>
      </w:r>
      <w:r>
        <w:t>RA-dega</w:t>
      </w:r>
      <w:r w:rsidRPr="00890389">
        <w:t xml:space="preserve">, kes vastutavad sama prioriteetse suuna meetme, meetme tegevuse või meetme tegevuste kogumi rakendamise eest, ning </w:t>
      </w:r>
      <w:r>
        <w:t>RA-dega</w:t>
      </w:r>
      <w:r w:rsidRPr="00890389">
        <w:t xml:space="preserve">, kes vastutavad läbivate teemade elluviimise eest ja kelle vastutusala läbiva teema eesmärke </w:t>
      </w:r>
      <w:r w:rsidR="00ED3EDB">
        <w:t>toetatavad tegevused mõjutavad.</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25"/>
      </w:tblGrid>
      <w:tr w:rsidR="001A4260" w14:paraId="55EF30D1" w14:textId="77777777" w:rsidTr="001A4260">
        <w:tc>
          <w:tcPr>
            <w:tcW w:w="4786" w:type="dxa"/>
          </w:tcPr>
          <w:p w14:paraId="55EF30CF" w14:textId="77777777" w:rsidR="001A4260" w:rsidRDefault="001A4260" w:rsidP="001A4260">
            <w:pPr>
              <w:widowControl/>
              <w:suppressAutoHyphens w:val="0"/>
              <w:spacing w:line="240" w:lineRule="auto"/>
              <w:jc w:val="left"/>
            </w:pPr>
          </w:p>
        </w:tc>
        <w:tc>
          <w:tcPr>
            <w:tcW w:w="4425" w:type="dxa"/>
          </w:tcPr>
          <w:p w14:paraId="55EF30D0" w14:textId="77777777" w:rsidR="001A4260" w:rsidRDefault="001A4260" w:rsidP="0084562D">
            <w:pPr>
              <w:widowControl/>
              <w:suppressAutoHyphens w:val="0"/>
              <w:spacing w:line="240" w:lineRule="auto"/>
              <w:jc w:val="left"/>
            </w:pPr>
          </w:p>
        </w:tc>
      </w:tr>
    </w:tbl>
    <w:p w14:paraId="55EF30D2" w14:textId="77777777" w:rsidR="001A4260" w:rsidRPr="00BD078E" w:rsidRDefault="001A4260" w:rsidP="00E81AA3">
      <w:pPr>
        <w:widowControl/>
        <w:suppressAutoHyphens w:val="0"/>
        <w:spacing w:line="240" w:lineRule="auto"/>
        <w:jc w:val="left"/>
      </w:pPr>
    </w:p>
    <w:sectPr w:rsidR="001A4260" w:rsidRPr="00BD078E" w:rsidSect="00A14D83">
      <w:headerReference w:type="default" r:id="rId13"/>
      <w:footerReference w:type="default" r:id="rId14"/>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F30D5" w14:textId="77777777" w:rsidR="00976F7E" w:rsidRDefault="00976F7E" w:rsidP="00DF44DF">
      <w:r>
        <w:separator/>
      </w:r>
    </w:p>
  </w:endnote>
  <w:endnote w:type="continuationSeparator" w:id="0">
    <w:p w14:paraId="55EF30D6" w14:textId="77777777" w:rsidR="00976F7E" w:rsidRDefault="00976F7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008245"/>
      <w:docPartObj>
        <w:docPartGallery w:val="Page Numbers (Bottom of Page)"/>
        <w:docPartUnique/>
      </w:docPartObj>
    </w:sdtPr>
    <w:sdtEndPr/>
    <w:sdtContent>
      <w:p w14:paraId="55EF30D9" w14:textId="77777777" w:rsidR="00E03490" w:rsidRDefault="00E03490">
        <w:pPr>
          <w:pStyle w:val="Footer"/>
          <w:jc w:val="right"/>
        </w:pPr>
        <w:r>
          <w:fldChar w:fldCharType="begin"/>
        </w:r>
        <w:r>
          <w:instrText>PAGE   \* MERGEFORMAT</w:instrText>
        </w:r>
        <w:r>
          <w:fldChar w:fldCharType="separate"/>
        </w:r>
        <w:r w:rsidR="00ED3EDB">
          <w:rPr>
            <w:noProof/>
          </w:rPr>
          <w:t>4</w:t>
        </w:r>
        <w:r>
          <w:fldChar w:fldCharType="end"/>
        </w:r>
      </w:p>
    </w:sdtContent>
  </w:sdt>
  <w:p w14:paraId="55EF30DA" w14:textId="77777777" w:rsidR="00E03490" w:rsidRDefault="00E03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F30D3" w14:textId="77777777" w:rsidR="00976F7E" w:rsidRDefault="00976F7E" w:rsidP="00DF44DF">
      <w:r>
        <w:separator/>
      </w:r>
    </w:p>
  </w:footnote>
  <w:footnote w:type="continuationSeparator" w:id="0">
    <w:p w14:paraId="55EF30D4" w14:textId="77777777" w:rsidR="00976F7E" w:rsidRDefault="00976F7E" w:rsidP="00DF44DF">
      <w:r>
        <w:continuationSeparator/>
      </w:r>
    </w:p>
  </w:footnote>
  <w:footnote w:id="1">
    <w:p w14:paraId="55EF30DB" w14:textId="77777777" w:rsidR="00A01757" w:rsidRDefault="00A01757" w:rsidP="00A01757">
      <w:pPr>
        <w:pStyle w:val="FootnoteText"/>
      </w:pPr>
      <w:r>
        <w:rPr>
          <w:rStyle w:val="FootnoteReference"/>
        </w:rPr>
        <w:footnoteRef/>
      </w:r>
      <w:r>
        <w:t xml:space="preserve"> </w:t>
      </w:r>
      <w:r w:rsidRPr="00F21DBA">
        <w:rPr>
          <w:rFonts w:ascii="Times New Roman" w:hAnsi="Times New Roman" w:cs="Times New Roman"/>
        </w:rPr>
        <w:t xml:space="preserve">Euroopa Komisjoni juhend „Monitoring and Evaluation of European Cohesion Policy, Annex D – Practical Guidance on data collection and validation“ </w:t>
      </w:r>
      <w:hyperlink r:id="rId1" w:history="1">
        <w:r w:rsidRPr="00F21DBA">
          <w:rPr>
            <w:rStyle w:val="Hyperlink"/>
            <w:rFonts w:ascii="Times New Roman" w:hAnsi="Times New Roman" w:cs="Times New Roman"/>
          </w:rPr>
          <w:t>http://ec.europa.eu/sfc/en/2014/document/annex-d-%E2%80%93-practical-guidance-data-collection-and-validation</w:t>
        </w:r>
      </w:hyperlink>
      <w:r w:rsidRPr="00F21DBA">
        <w:rPr>
          <w:rFonts w:ascii="Times New Roman" w:hAnsi="Times New Roman" w:cs="Times New Roman"/>
        </w:rPr>
        <w:t>, mai 2016 versioon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F30D7" w14:textId="77777777" w:rsidR="00110BCA" w:rsidRDefault="00110BCA" w:rsidP="00110BCA">
    <w:pPr>
      <w:pStyle w:val="Jalus1"/>
      <w:jc w:val="center"/>
    </w:pPr>
  </w:p>
  <w:p w14:paraId="55EF30D8" w14:textId="77777777" w:rsidR="00110BCA" w:rsidRDefault="00110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61247"/>
    <w:multiLevelType w:val="hybridMultilevel"/>
    <w:tmpl w:val="AD1A44CE"/>
    <w:lvl w:ilvl="0" w:tplc="347284FC">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5007DAD"/>
    <w:multiLevelType w:val="hybridMultilevel"/>
    <w:tmpl w:val="BEC04926"/>
    <w:lvl w:ilvl="0" w:tplc="0D2005C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512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99"/>
    <w:rsid w:val="00001FB8"/>
    <w:rsid w:val="00017C88"/>
    <w:rsid w:val="000210A6"/>
    <w:rsid w:val="000323FB"/>
    <w:rsid w:val="00032F6C"/>
    <w:rsid w:val="0004665A"/>
    <w:rsid w:val="00054521"/>
    <w:rsid w:val="00060947"/>
    <w:rsid w:val="0006486E"/>
    <w:rsid w:val="00067249"/>
    <w:rsid w:val="00073127"/>
    <w:rsid w:val="00075545"/>
    <w:rsid w:val="00080D05"/>
    <w:rsid w:val="000913FC"/>
    <w:rsid w:val="00097B1E"/>
    <w:rsid w:val="000E4F8D"/>
    <w:rsid w:val="00104E6C"/>
    <w:rsid w:val="00110BCA"/>
    <w:rsid w:val="00114518"/>
    <w:rsid w:val="001158B9"/>
    <w:rsid w:val="00121FC3"/>
    <w:rsid w:val="00124999"/>
    <w:rsid w:val="001802F7"/>
    <w:rsid w:val="001939C3"/>
    <w:rsid w:val="001A4260"/>
    <w:rsid w:val="001A7D04"/>
    <w:rsid w:val="001B216C"/>
    <w:rsid w:val="001B434F"/>
    <w:rsid w:val="001C5A7D"/>
    <w:rsid w:val="001D4CFB"/>
    <w:rsid w:val="001E28A1"/>
    <w:rsid w:val="002008A2"/>
    <w:rsid w:val="0022269C"/>
    <w:rsid w:val="00250AD7"/>
    <w:rsid w:val="0026456A"/>
    <w:rsid w:val="002835BB"/>
    <w:rsid w:val="00293449"/>
    <w:rsid w:val="002E40E4"/>
    <w:rsid w:val="002F254F"/>
    <w:rsid w:val="00314428"/>
    <w:rsid w:val="00354059"/>
    <w:rsid w:val="00372617"/>
    <w:rsid w:val="00372DDF"/>
    <w:rsid w:val="00377442"/>
    <w:rsid w:val="00394DCB"/>
    <w:rsid w:val="003B2A9C"/>
    <w:rsid w:val="003D76F1"/>
    <w:rsid w:val="003E1C38"/>
    <w:rsid w:val="003E5F0F"/>
    <w:rsid w:val="00420533"/>
    <w:rsid w:val="00422A99"/>
    <w:rsid w:val="00422E5A"/>
    <w:rsid w:val="00435A13"/>
    <w:rsid w:val="0044084D"/>
    <w:rsid w:val="0045527F"/>
    <w:rsid w:val="00493EE8"/>
    <w:rsid w:val="004A3512"/>
    <w:rsid w:val="004B77FB"/>
    <w:rsid w:val="004C1391"/>
    <w:rsid w:val="004E1372"/>
    <w:rsid w:val="004E5743"/>
    <w:rsid w:val="0050252A"/>
    <w:rsid w:val="00546204"/>
    <w:rsid w:val="00551E24"/>
    <w:rsid w:val="00552F7F"/>
    <w:rsid w:val="00557534"/>
    <w:rsid w:val="00560A92"/>
    <w:rsid w:val="0056160C"/>
    <w:rsid w:val="00564569"/>
    <w:rsid w:val="00566D45"/>
    <w:rsid w:val="0058273A"/>
    <w:rsid w:val="005927C1"/>
    <w:rsid w:val="005B4DA8"/>
    <w:rsid w:val="005B53EF"/>
    <w:rsid w:val="005B5CE1"/>
    <w:rsid w:val="005C01DE"/>
    <w:rsid w:val="005E3AED"/>
    <w:rsid w:val="005E45BB"/>
    <w:rsid w:val="00602834"/>
    <w:rsid w:val="00647669"/>
    <w:rsid w:val="00680609"/>
    <w:rsid w:val="00684E51"/>
    <w:rsid w:val="0069317C"/>
    <w:rsid w:val="00693C01"/>
    <w:rsid w:val="006B32D9"/>
    <w:rsid w:val="006B56E3"/>
    <w:rsid w:val="006C158B"/>
    <w:rsid w:val="006D4161"/>
    <w:rsid w:val="006E16BD"/>
    <w:rsid w:val="006F3BB9"/>
    <w:rsid w:val="006F72D7"/>
    <w:rsid w:val="007056E1"/>
    <w:rsid w:val="0070684C"/>
    <w:rsid w:val="00706BF9"/>
    <w:rsid w:val="00713327"/>
    <w:rsid w:val="0074643B"/>
    <w:rsid w:val="00747FB7"/>
    <w:rsid w:val="00752E06"/>
    <w:rsid w:val="0075695A"/>
    <w:rsid w:val="0076054B"/>
    <w:rsid w:val="00793A3C"/>
    <w:rsid w:val="007A1DE8"/>
    <w:rsid w:val="007D2BF1"/>
    <w:rsid w:val="007D54FC"/>
    <w:rsid w:val="007D76EE"/>
    <w:rsid w:val="007F55B0"/>
    <w:rsid w:val="008145F3"/>
    <w:rsid w:val="00816877"/>
    <w:rsid w:val="00835858"/>
    <w:rsid w:val="0083704E"/>
    <w:rsid w:val="00843868"/>
    <w:rsid w:val="0084562D"/>
    <w:rsid w:val="008567FD"/>
    <w:rsid w:val="008919F2"/>
    <w:rsid w:val="0089276C"/>
    <w:rsid w:val="008D4634"/>
    <w:rsid w:val="008F0B50"/>
    <w:rsid w:val="00900369"/>
    <w:rsid w:val="0091786B"/>
    <w:rsid w:val="00925F60"/>
    <w:rsid w:val="00932CDE"/>
    <w:rsid w:val="009370A4"/>
    <w:rsid w:val="009709A8"/>
    <w:rsid w:val="00976F7E"/>
    <w:rsid w:val="00995645"/>
    <w:rsid w:val="009A1F94"/>
    <w:rsid w:val="009D4A83"/>
    <w:rsid w:val="009D780D"/>
    <w:rsid w:val="009E78E0"/>
    <w:rsid w:val="009E7F4A"/>
    <w:rsid w:val="009F2AD4"/>
    <w:rsid w:val="00A01757"/>
    <w:rsid w:val="00A10E66"/>
    <w:rsid w:val="00A1244E"/>
    <w:rsid w:val="00A14D83"/>
    <w:rsid w:val="00A42A47"/>
    <w:rsid w:val="00A66AAE"/>
    <w:rsid w:val="00AB42A6"/>
    <w:rsid w:val="00AD2EA7"/>
    <w:rsid w:val="00AE7DDE"/>
    <w:rsid w:val="00AF4523"/>
    <w:rsid w:val="00B12336"/>
    <w:rsid w:val="00B35B5D"/>
    <w:rsid w:val="00B417AB"/>
    <w:rsid w:val="00B41859"/>
    <w:rsid w:val="00B46D53"/>
    <w:rsid w:val="00B81632"/>
    <w:rsid w:val="00B834BD"/>
    <w:rsid w:val="00BA0876"/>
    <w:rsid w:val="00BC1A62"/>
    <w:rsid w:val="00BD078E"/>
    <w:rsid w:val="00BD3CCF"/>
    <w:rsid w:val="00BE2959"/>
    <w:rsid w:val="00BF4D7C"/>
    <w:rsid w:val="00C02D93"/>
    <w:rsid w:val="00C24F66"/>
    <w:rsid w:val="00C27B07"/>
    <w:rsid w:val="00C33CFE"/>
    <w:rsid w:val="00C41FC5"/>
    <w:rsid w:val="00C737AA"/>
    <w:rsid w:val="00C83346"/>
    <w:rsid w:val="00C90E39"/>
    <w:rsid w:val="00CA583B"/>
    <w:rsid w:val="00CA5F0B"/>
    <w:rsid w:val="00CF2B77"/>
    <w:rsid w:val="00CF4303"/>
    <w:rsid w:val="00D11E3D"/>
    <w:rsid w:val="00D40650"/>
    <w:rsid w:val="00D559F8"/>
    <w:rsid w:val="00D8202D"/>
    <w:rsid w:val="00D82747"/>
    <w:rsid w:val="00DA5E99"/>
    <w:rsid w:val="00DB573E"/>
    <w:rsid w:val="00DD0C74"/>
    <w:rsid w:val="00DF44DF"/>
    <w:rsid w:val="00E023F6"/>
    <w:rsid w:val="00E03490"/>
    <w:rsid w:val="00E03DBB"/>
    <w:rsid w:val="00E23803"/>
    <w:rsid w:val="00E2388B"/>
    <w:rsid w:val="00E27D55"/>
    <w:rsid w:val="00E40789"/>
    <w:rsid w:val="00E43E6C"/>
    <w:rsid w:val="00E53D13"/>
    <w:rsid w:val="00E576CA"/>
    <w:rsid w:val="00E6194D"/>
    <w:rsid w:val="00E81AA3"/>
    <w:rsid w:val="00E84421"/>
    <w:rsid w:val="00E97309"/>
    <w:rsid w:val="00EB106C"/>
    <w:rsid w:val="00ED3EDB"/>
    <w:rsid w:val="00EE4FCE"/>
    <w:rsid w:val="00EF73E1"/>
    <w:rsid w:val="00F122D1"/>
    <w:rsid w:val="00F1337B"/>
    <w:rsid w:val="00F21DBA"/>
    <w:rsid w:val="00F25A4E"/>
    <w:rsid w:val="00F71225"/>
    <w:rsid w:val="00F9645B"/>
    <w:rsid w:val="00FC7749"/>
    <w:rsid w:val="00FD7131"/>
    <w:rsid w:val="00FE1C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55EF3074"/>
  <w15:docId w15:val="{FDEA7E0C-9FC2-4054-A716-5C2A25BA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3490"/>
    <w:rPr>
      <w:rFonts w:cs="Times New Roman"/>
      <w:b/>
      <w:bCs/>
    </w:rPr>
  </w:style>
  <w:style w:type="character" w:customStyle="1" w:styleId="expand19-200">
    <w:name w:val="expand19-200"/>
    <w:basedOn w:val="DefaultParagraphFont"/>
    <w:rsid w:val="00E03490"/>
  </w:style>
  <w:style w:type="paragraph" w:styleId="ListParagraph">
    <w:name w:val="List Paragraph"/>
    <w:aliases w:val="Mummuga loetelu"/>
    <w:basedOn w:val="Normal"/>
    <w:link w:val="ListParagraphChar"/>
    <w:uiPriority w:val="34"/>
    <w:qFormat/>
    <w:rsid w:val="00E03490"/>
    <w:pPr>
      <w:widowControl/>
      <w:suppressAutoHyphens w:val="0"/>
      <w:spacing w:after="200" w:line="276" w:lineRule="auto"/>
      <w:ind w:left="720"/>
      <w:contextualSpacing/>
      <w:jc w:val="left"/>
    </w:pPr>
    <w:rPr>
      <w:rFonts w:asciiTheme="minorHAnsi" w:eastAsiaTheme="minorHAnsi" w:hAnsiTheme="minorHAnsi" w:cstheme="minorBidi"/>
      <w:kern w:val="0"/>
      <w:sz w:val="22"/>
      <w:szCs w:val="22"/>
      <w:lang w:eastAsia="en-US" w:bidi="ar-SA"/>
    </w:rPr>
  </w:style>
  <w:style w:type="character" w:customStyle="1" w:styleId="ListParagraphChar">
    <w:name w:val="List Paragraph Char"/>
    <w:aliases w:val="Mummuga loetelu Char"/>
    <w:link w:val="ListParagraph"/>
    <w:uiPriority w:val="34"/>
    <w:locked/>
    <w:rsid w:val="00E03490"/>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E03490"/>
    <w:pPr>
      <w:widowControl/>
      <w:suppressAutoHyphens w:val="0"/>
      <w:spacing w:line="240" w:lineRule="auto"/>
      <w:jc w:val="left"/>
    </w:pPr>
    <w:rPr>
      <w:rFonts w:asciiTheme="minorHAnsi" w:eastAsiaTheme="minorHAnsi" w:hAnsiTheme="minorHAnsi" w:cstheme="minorBidi"/>
      <w:kern w:val="0"/>
      <w:sz w:val="20"/>
      <w:szCs w:val="20"/>
      <w:lang w:eastAsia="en-US" w:bidi="ar-SA"/>
    </w:rPr>
  </w:style>
  <w:style w:type="character" w:customStyle="1" w:styleId="FootnoteTextChar">
    <w:name w:val="Footnote Text Char"/>
    <w:basedOn w:val="DefaultParagraphFont"/>
    <w:link w:val="FootnoteText"/>
    <w:uiPriority w:val="99"/>
    <w:semiHidden/>
    <w:rsid w:val="00E03490"/>
    <w:rPr>
      <w:rFonts w:asciiTheme="minorHAnsi" w:eastAsiaTheme="minorHAnsi" w:hAnsiTheme="minorHAnsi" w:cstheme="minorBidi"/>
      <w:lang w:eastAsia="en-U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unhideWhenUsed/>
    <w:rsid w:val="00E03490"/>
    <w:rPr>
      <w:vertAlign w:val="superscript"/>
    </w:rPr>
  </w:style>
  <w:style w:type="character" w:styleId="CommentReference">
    <w:name w:val="annotation reference"/>
    <w:basedOn w:val="DefaultParagraphFont"/>
    <w:uiPriority w:val="99"/>
    <w:semiHidden/>
    <w:unhideWhenUsed/>
    <w:rsid w:val="0006486E"/>
    <w:rPr>
      <w:sz w:val="16"/>
      <w:szCs w:val="16"/>
    </w:rPr>
  </w:style>
  <w:style w:type="paragraph" w:styleId="CommentText">
    <w:name w:val="annotation text"/>
    <w:basedOn w:val="Normal"/>
    <w:link w:val="CommentTextChar"/>
    <w:uiPriority w:val="99"/>
    <w:semiHidden/>
    <w:unhideWhenUsed/>
    <w:rsid w:val="0006486E"/>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06486E"/>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06486E"/>
    <w:rPr>
      <w:b/>
      <w:bCs/>
    </w:rPr>
  </w:style>
  <w:style w:type="character" w:customStyle="1" w:styleId="CommentSubjectChar">
    <w:name w:val="Comment Subject Char"/>
    <w:basedOn w:val="CommentTextChar"/>
    <w:link w:val="CommentSubject"/>
    <w:uiPriority w:val="99"/>
    <w:semiHidden/>
    <w:rsid w:val="0006486E"/>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ika.jakovleva@siseministeerium.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e.osman@siseministeerium.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fc/en/2014/document/annex-d-%E2%80%93-practical-guidance-data-collection-and-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3E133B3-238B-4A7D-892C-C1D1D8606A43}">
  <ds:schemaRefs>
    <ds:schemaRef ds:uri="http://schemas.microsoft.com/sharepoint/v3/contenttype/forms"/>
  </ds:schemaRefs>
</ds:datastoreItem>
</file>

<file path=customXml/itemProps2.xml><?xml version="1.0" encoding="utf-8"?>
<ds:datastoreItem xmlns:ds="http://schemas.openxmlformats.org/officeDocument/2006/customXml" ds:itemID="{A05FBCF0-6F02-4DCD-B3AA-F6CCF2923233}">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d0759c17-f71d-426f-a000-2a7c696f56e3"/>
  </ds:schemaRefs>
</ds:datastoreItem>
</file>

<file path=customXml/itemProps3.xml><?xml version="1.0" encoding="utf-8"?>
<ds:datastoreItem xmlns:ds="http://schemas.openxmlformats.org/officeDocument/2006/customXml" ds:itemID="{67110121-3A72-43B7-86E0-4276FA2E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4A686-6D2D-426C-9625-D24D1D8B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2299</Words>
  <Characters>13340</Characters>
  <Application>Microsoft Office Word</Application>
  <DocSecurity>0</DocSecurity>
  <Lines>111</Lines>
  <Paragraphs>31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Ramon Loik</cp:lastModifiedBy>
  <cp:revision>13</cp:revision>
  <cp:lastPrinted>2014-04-02T13:57:00Z</cp:lastPrinted>
  <dcterms:created xsi:type="dcterms:W3CDTF">2017-02-21T18:00:00Z</dcterms:created>
  <dcterms:modified xsi:type="dcterms:W3CDTF">2017-03-07T11:57:00Z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{whoseName}</vt:lpwstr>
  </property>
  <property fmtid="{D5CDD505-2E9C-101B-9397-08002B2CF9AE}" pid="18" name="ContentTypeId">
    <vt:lpwstr>0x0101000B5ECA4E54881843BD631B5779FA2E84</vt:lpwstr>
  </property>
</Properties>
</file>